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F16AAC" w:rsidRPr="00F16AAC">
        <w:rPr>
          <w:rFonts w:ascii="Times New Roman" w:hAnsi="Times New Roman" w:cs="Times New Roman"/>
        </w:rPr>
        <w:t>10.7322.011.2018.WDKAR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F16AAC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AAC">
              <w:rPr>
                <w:rFonts w:ascii="Times New Roman" w:hAnsi="Times New Roman" w:cs="Times New Roman"/>
                <w:sz w:val="20"/>
                <w:szCs w:val="20"/>
              </w:rPr>
              <w:t>10.7322.011.2018.WDKAR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955F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18.04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955F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29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955F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05.2018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157788" w:rsidRDefault="00955FF0" w:rsidP="00BC65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FF0">
              <w:rPr>
                <w:rFonts w:ascii="Times New Roman" w:hAnsi="Times New Roman" w:cs="Times New Roman"/>
                <w:bCs/>
                <w:sz w:val="20"/>
                <w:szCs w:val="20"/>
              </w:rPr>
              <w:t>Apteka Arnika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955FF0">
              <w:rPr>
                <w:rFonts w:ascii="Times New Roman" w:hAnsi="Times New Roman" w:cs="Times New Roman"/>
                <w:bCs/>
                <w:sz w:val="20"/>
                <w:szCs w:val="20"/>
              </w:rPr>
              <w:t>ul. 1-go Maja 86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17-240 Czeremcha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955CFE" w:rsidRDefault="00955FF0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955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ealizacja zagadnień wynikających z zakresu przedmiotowego umowy na wydawanie refundowanego leku, środka spożywczego specjalnego przeznaczenia żywieniowego oraz wyrobu medycznego na receptę w latach 2013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55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2014</w:t>
            </w:r>
          </w:p>
          <w:p w:rsidR="00955FF0" w:rsidRPr="009B4C38" w:rsidRDefault="00955FF0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F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01.01.2013 r. – 31.12.2014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8C5810" w:rsidRDefault="00955FF0" w:rsidP="008C5810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8C5810">
              <w:rPr>
                <w:sz w:val="20"/>
                <w:szCs w:val="20"/>
              </w:rPr>
              <w:t>Pozytywnie z nieprawidłowością oceniono postępowanie Apteki w odniesieniu do obowiązujących w kontrolowanym okresie przepisów zawartych w</w:t>
            </w:r>
            <w:r w:rsidRPr="008C5810">
              <w:rPr>
                <w:b/>
                <w:sz w:val="20"/>
                <w:szCs w:val="20"/>
              </w:rPr>
              <w:t xml:space="preserve"> </w:t>
            </w:r>
            <w:r w:rsidRPr="008C5810">
              <w:rPr>
                <w:rFonts w:eastAsia="Calibri"/>
                <w:sz w:val="20"/>
                <w:szCs w:val="20"/>
              </w:rPr>
              <w:t xml:space="preserve">rozporządzeniu Ministra Zdrowia z dnia </w:t>
            </w:r>
            <w:r w:rsidRPr="008C5810">
              <w:rPr>
                <w:sz w:val="20"/>
                <w:szCs w:val="20"/>
              </w:rPr>
              <w:t xml:space="preserve">8 marca 2012 r. </w:t>
            </w:r>
            <w:r w:rsidRPr="008C5810">
              <w:rPr>
                <w:i/>
                <w:sz w:val="20"/>
                <w:szCs w:val="20"/>
              </w:rPr>
              <w:t>w sprawie recept lekarskich</w:t>
            </w:r>
            <w:r w:rsidRPr="008C5810">
              <w:rPr>
                <w:sz w:val="20"/>
                <w:szCs w:val="20"/>
              </w:rPr>
              <w:t xml:space="preserve"> (j.t. Dz.U. z 2017 r., poz. 1570)</w:t>
            </w:r>
            <w:r w:rsidRPr="008C5810">
              <w:rPr>
                <w:rFonts w:eastAsia="Calibri"/>
                <w:sz w:val="20"/>
                <w:szCs w:val="20"/>
              </w:rPr>
              <w:t xml:space="preserve">, zwanego dalej </w:t>
            </w:r>
            <w:r w:rsidRPr="008C5810">
              <w:rPr>
                <w:rFonts w:eastAsia="Calibri"/>
                <w:i/>
                <w:sz w:val="20"/>
                <w:szCs w:val="20"/>
              </w:rPr>
              <w:t xml:space="preserve">rozporządzeniem </w:t>
            </w:r>
            <w:r w:rsidRPr="008C5810">
              <w:rPr>
                <w:i/>
                <w:sz w:val="20"/>
                <w:szCs w:val="20"/>
              </w:rPr>
              <w:t xml:space="preserve">w/s recept lekarskich, </w:t>
            </w:r>
            <w:r w:rsidRPr="008C5810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 W trakcie kontroli ustalono bowiem, że zrealizowane recepty wystawione były w sposób czytelny na prawidłowych drukach; zawierały niezbędne informacje o przepisanych lekach i wyrobach medycznych, a także dane identyfikujące świadczeniodawcę, pacjenta oraz lekarza.</w:t>
            </w:r>
            <w:r w:rsidR="008C5810" w:rsidRPr="008C5810">
              <w:rPr>
                <w:sz w:val="20"/>
                <w:szCs w:val="20"/>
              </w:rPr>
              <w:t xml:space="preserve"> Stwierdzono natomiast, że w Aptece zrealizowano 1 receptę, na której lekarz nie umieścił pieczątki i podpisu przy poprawionej dacie wystawienia recepty. Naruszono w ten sposób </w:t>
            </w:r>
            <w:r w:rsidR="008C5810" w:rsidRPr="008C5810">
              <w:rPr>
                <w:rFonts w:eastAsia="Calibri"/>
                <w:sz w:val="20"/>
                <w:szCs w:val="20"/>
              </w:rPr>
              <w:t>§ 2</w:t>
            </w:r>
            <w:r w:rsidR="008C5810" w:rsidRPr="008C5810">
              <w:rPr>
                <w:sz w:val="20"/>
                <w:szCs w:val="20"/>
              </w:rPr>
              <w:t xml:space="preserve"> rozporządzenia Ministra Zdrowia z dnia 8 marca 2012 r.</w:t>
            </w:r>
            <w:r w:rsidR="008C5810" w:rsidRPr="008C5810">
              <w:rPr>
                <w:i/>
                <w:sz w:val="20"/>
                <w:szCs w:val="20"/>
              </w:rPr>
              <w:t xml:space="preserve"> w sprawie recept lekarskich</w:t>
            </w:r>
            <w:r w:rsidR="008C5810" w:rsidRPr="008C5810">
              <w:rPr>
                <w:sz w:val="20"/>
                <w:szCs w:val="20"/>
              </w:rPr>
              <w:t xml:space="preserve"> z dnia 8 marca 2012 r. (j.t. Dz.U. z 2017 r., poz. 1570).</w:t>
            </w:r>
          </w:p>
          <w:p w:rsidR="008C5810" w:rsidRPr="008C5810" w:rsidRDefault="008C5810" w:rsidP="008C5810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8C5810">
              <w:rPr>
                <w:sz w:val="20"/>
                <w:szCs w:val="20"/>
              </w:rPr>
              <w:t>Pozytywnie oceniono realizację recept w zakresie zachowania terminu ich ważności, w tym również w przypadku realizacji recept odroczonych z datami realizacji „od dnia”.</w:t>
            </w:r>
          </w:p>
          <w:p w:rsidR="008C5810" w:rsidRPr="008C5810" w:rsidRDefault="008C5810" w:rsidP="008C5810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8C5810">
              <w:rPr>
                <w:sz w:val="20"/>
                <w:szCs w:val="20"/>
              </w:rPr>
              <w:t>W kontrolowanym okresie Apteka należycie wywiązywała się z obowiązku przechowywania zrealizowanych recept, co należy ocenić pozytywnie.</w:t>
            </w:r>
          </w:p>
          <w:p w:rsidR="008C5810" w:rsidRDefault="008C5810" w:rsidP="008C5810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8C5810">
              <w:rPr>
                <w:sz w:val="20"/>
                <w:szCs w:val="20"/>
              </w:rPr>
              <w:t>W Aptece w prawidłowy sposób sporządzano otaksowania recept - postępowanie takie również zasługuje na ocenę pozytywną</w:t>
            </w:r>
            <w:r w:rsidR="0088677C">
              <w:rPr>
                <w:sz w:val="20"/>
                <w:szCs w:val="20"/>
              </w:rPr>
              <w:t>.</w:t>
            </w:r>
          </w:p>
          <w:p w:rsidR="00932B54" w:rsidRDefault="0088677C" w:rsidP="00932B54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88677C">
              <w:rPr>
                <w:sz w:val="20"/>
                <w:szCs w:val="20"/>
              </w:rPr>
              <w:t>Pozytywnie z nieprawidłowościami</w:t>
            </w:r>
            <w:r w:rsidRPr="0088677C">
              <w:rPr>
                <w:b/>
                <w:sz w:val="20"/>
                <w:szCs w:val="20"/>
              </w:rPr>
              <w:t xml:space="preserve"> </w:t>
            </w:r>
            <w:r w:rsidR="00932B54">
              <w:rPr>
                <w:sz w:val="20"/>
                <w:szCs w:val="20"/>
              </w:rPr>
              <w:t>oceniono</w:t>
            </w:r>
            <w:r w:rsidRPr="0088677C">
              <w:rPr>
                <w:sz w:val="20"/>
                <w:szCs w:val="20"/>
              </w:rPr>
              <w:t xml:space="preserve"> postępowanie Apteki w zakresie realizacji recept lekarskich w odniesieniu do postanowień umowy oraz obowiązujących w kontrolowanym okresie przepisów rozporządzenia </w:t>
            </w:r>
            <w:r w:rsidRPr="0088677C">
              <w:rPr>
                <w:i/>
                <w:sz w:val="20"/>
                <w:szCs w:val="20"/>
              </w:rPr>
              <w:t>w/s recept</w:t>
            </w:r>
            <w:r w:rsidRPr="0088677C">
              <w:rPr>
                <w:sz w:val="20"/>
                <w:szCs w:val="20"/>
              </w:rPr>
              <w:t xml:space="preserve"> dotyczących ilości, wielkości opakowań, dawek, odpłatności wydawanych leków oraz ich zamiany.</w:t>
            </w:r>
            <w:r w:rsidR="00F36776">
              <w:rPr>
                <w:sz w:val="20"/>
                <w:szCs w:val="20"/>
              </w:rPr>
              <w:t xml:space="preserve"> </w:t>
            </w:r>
            <w:r w:rsidR="00F36776" w:rsidRPr="00F36776">
              <w:rPr>
                <w:sz w:val="20"/>
                <w:szCs w:val="20"/>
              </w:rPr>
              <w:t xml:space="preserve">W wyniku kontroli stwierdzono bowiem nieprawidłowości w zakresie ilości wydawanych produktów. Dotyczyły one trzech recept, na podstawie których wydano leki w ilości większej, niż dwa najmniejsze opakowania, pomimo że na recepcie nie określono sposobu dawkowania leku, naruszając § 13 ust. 1, § 16 ust. 1 pkt 1 lit. d oraz § 8 ust. 1 pkt 1 lit. a rozporządzenia </w:t>
            </w:r>
            <w:r w:rsidR="00F36776" w:rsidRPr="00F36776">
              <w:rPr>
                <w:i/>
                <w:sz w:val="20"/>
                <w:szCs w:val="20"/>
              </w:rPr>
              <w:t>w/s recept</w:t>
            </w:r>
            <w:r w:rsidR="00F36776">
              <w:rPr>
                <w:sz w:val="20"/>
                <w:szCs w:val="20"/>
              </w:rPr>
              <w:t>.</w:t>
            </w:r>
          </w:p>
          <w:p w:rsidR="00932B54" w:rsidRDefault="00932B54" w:rsidP="00932B54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932B54">
              <w:rPr>
                <w:sz w:val="20"/>
                <w:szCs w:val="20"/>
              </w:rPr>
              <w:t xml:space="preserve">Pozytywnie z nieprawidłowością </w:t>
            </w:r>
            <w:r>
              <w:rPr>
                <w:sz w:val="20"/>
                <w:szCs w:val="20"/>
              </w:rPr>
              <w:t>oceniono</w:t>
            </w:r>
            <w:r w:rsidRPr="00932B54">
              <w:rPr>
                <w:sz w:val="20"/>
                <w:szCs w:val="20"/>
              </w:rPr>
              <w:t xml:space="preserve"> realizację recept wystawionych na preparaty zawierające w swoim składzie środek odurzający lub substancję psychotropową.</w:t>
            </w:r>
          </w:p>
          <w:p w:rsidR="003F789E" w:rsidRDefault="003F789E" w:rsidP="00932B54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F789E">
              <w:rPr>
                <w:sz w:val="20"/>
                <w:szCs w:val="20"/>
              </w:rPr>
              <w:t>Pozytywnie z nieprawidłowością ocenić należy realizację recept wystawionych na rzecz pacjentów posiadających dodatkowe uprawnienia typu IB. Kontrolowany nie wywiązał się z obowiązku wynikającego z art. 46 ust. 6 ustawy z dnia 27 sierpnia 2004r. o świadczeniach opieki zdrowotnej finansowanych ze środków publicznych (j.t. Dz.U. z 2</w:t>
            </w:r>
            <w:r>
              <w:rPr>
                <w:sz w:val="20"/>
                <w:szCs w:val="20"/>
              </w:rPr>
              <w:t xml:space="preserve">017 r., poz. 1938,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  <w:r w:rsidRPr="003F789E">
              <w:rPr>
                <w:sz w:val="20"/>
                <w:szCs w:val="20"/>
              </w:rPr>
              <w:t xml:space="preserve"> oraz z § 22 </w:t>
            </w:r>
            <w:r w:rsidRPr="003F789E">
              <w:rPr>
                <w:sz w:val="20"/>
                <w:szCs w:val="20"/>
              </w:rPr>
              <w:lastRenderedPageBreak/>
              <w:t xml:space="preserve">rozporządzenia </w:t>
            </w:r>
            <w:r w:rsidRPr="003F789E">
              <w:rPr>
                <w:i/>
                <w:sz w:val="20"/>
                <w:szCs w:val="20"/>
              </w:rPr>
              <w:t>w/s recept</w:t>
            </w:r>
            <w:r w:rsidRPr="003F789E">
              <w:rPr>
                <w:sz w:val="20"/>
                <w:szCs w:val="20"/>
              </w:rPr>
              <w:t xml:space="preserve"> w przypadku jednej recepty, na rewersie której nie odnotowano informacji o rodzaju i numerze dokumentu potwierdzającego uprawnienia typu IB</w:t>
            </w:r>
            <w:r>
              <w:rPr>
                <w:sz w:val="20"/>
                <w:szCs w:val="20"/>
              </w:rPr>
              <w:t>.</w:t>
            </w:r>
          </w:p>
          <w:p w:rsidR="003F789E" w:rsidRDefault="003F789E" w:rsidP="00932B54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3F789E">
              <w:rPr>
                <w:sz w:val="20"/>
                <w:szCs w:val="20"/>
              </w:rPr>
              <w:t>Pozytywnie ocenić należy postępowanie Apteki w odniesieniu do przepisów określonych w art. 7 ust. 4 ustawy o refundacji dotyczących naliczania marży detalicznej przy realizacji recept na preparaty pełnopłatne wydawane bezpłatnie pacjentom z uprawnieniami typu IB.</w:t>
            </w:r>
          </w:p>
          <w:p w:rsidR="008C5810" w:rsidRPr="003F789E" w:rsidRDefault="003F789E" w:rsidP="003F789E">
            <w:pPr>
              <w:pStyle w:val="Akapitzlist"/>
              <w:numPr>
                <w:ilvl w:val="0"/>
                <w:numId w:val="44"/>
              </w:numPr>
              <w:ind w:left="225" w:hanging="212"/>
              <w:rPr>
                <w:sz w:val="20"/>
                <w:szCs w:val="20"/>
              </w:rPr>
            </w:pPr>
            <w:r w:rsidRPr="003F789E">
              <w:rPr>
                <w:sz w:val="20"/>
                <w:szCs w:val="20"/>
              </w:rPr>
              <w:t>Pozytywnie z uchybieniami</w:t>
            </w:r>
            <w:r w:rsidRPr="003F789E">
              <w:rPr>
                <w:b/>
                <w:sz w:val="20"/>
                <w:szCs w:val="20"/>
              </w:rPr>
              <w:t xml:space="preserve"> </w:t>
            </w:r>
            <w:r w:rsidRPr="003F789E">
              <w:rPr>
                <w:sz w:val="20"/>
                <w:szCs w:val="20"/>
              </w:rPr>
              <w:t>pod względem kryterium rzetelności oceniono postępowanie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3F789E">
              <w:rPr>
                <w:i/>
                <w:sz w:val="20"/>
                <w:szCs w:val="20"/>
              </w:rPr>
              <w:t xml:space="preserve"> </w:t>
            </w:r>
            <w:r w:rsidRPr="003F789E">
              <w:rPr>
                <w:sz w:val="20"/>
                <w:szCs w:val="20"/>
              </w:rPr>
              <w:t xml:space="preserve">o refundacji, § 2 ust. </w:t>
            </w:r>
            <w:r w:rsidRPr="003F789E">
              <w:rPr>
                <w:bCs/>
                <w:sz w:val="20"/>
                <w:szCs w:val="20"/>
              </w:rPr>
              <w:t xml:space="preserve">1 pkt. 24 i 27 </w:t>
            </w:r>
            <w:r w:rsidRPr="003F789E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3F789E">
              <w:rPr>
                <w:i/>
                <w:sz w:val="20"/>
                <w:szCs w:val="20"/>
              </w:rPr>
              <w:t xml:space="preserve"> </w:t>
            </w:r>
            <w:r w:rsidRPr="003F789E">
              <w:rPr>
                <w:sz w:val="20"/>
                <w:szCs w:val="20"/>
              </w:rPr>
              <w:t>(j.t. 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3F789E">
              <w:rPr>
                <w:sz w:val="20"/>
                <w:szCs w:val="20"/>
              </w:rPr>
              <w:t>W wyniku kontroli stwierdzono bowiem, że dostarczone przez Aptekę do POW NFZ informacje w przypadku 3 recept były niezgodne ze stanem faktycznym:</w:t>
            </w:r>
            <w:r>
              <w:rPr>
                <w:sz w:val="20"/>
                <w:szCs w:val="20"/>
              </w:rPr>
              <w:t xml:space="preserve"> </w:t>
            </w:r>
            <w:r w:rsidRPr="003F789E">
              <w:rPr>
                <w:sz w:val="20"/>
                <w:szCs w:val="20"/>
              </w:rPr>
              <w:t>w 2 przypadkach sprawozdano niezgodną z treścią recepty datę wystawienia,</w:t>
            </w:r>
            <w:r>
              <w:rPr>
                <w:sz w:val="20"/>
                <w:szCs w:val="20"/>
              </w:rPr>
              <w:t xml:space="preserve"> </w:t>
            </w:r>
            <w:r w:rsidRPr="003F789E">
              <w:rPr>
                <w:sz w:val="20"/>
                <w:szCs w:val="20"/>
              </w:rPr>
              <w:t>w 1 przypadku sprawozdano nieprawidłowy numer prawa wykonywania zawodu lekarza.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172AAC" w:rsidRPr="00172AAC" w:rsidRDefault="00172AAC" w:rsidP="00172AAC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hanging="277"/>
              <w:rPr>
                <w:bCs/>
                <w:sz w:val="20"/>
                <w:szCs w:val="20"/>
              </w:rPr>
            </w:pPr>
            <w:r w:rsidRPr="00172AAC">
              <w:rPr>
                <w:sz w:val="20"/>
                <w:szCs w:val="20"/>
              </w:rPr>
              <w:t xml:space="preserve">Przestrzegać zasad realizacji recept zgodnie z obowiązującymi przepisami rozporządzeń </w:t>
            </w:r>
            <w:r w:rsidRPr="00172AAC">
              <w:rPr>
                <w:sz w:val="20"/>
                <w:szCs w:val="20"/>
              </w:rPr>
              <w:br/>
              <w:t>w/s recept oraz w/s środków odurzających, w szczególności zwracać uwagę na poprawioną treść recepty, wydawać leki w odpowiedniej ilości, zwracać uwagę na zapis słowny ilości środka odurzającego, potwierdzać uprawnienia dodatkowe pacjentów poprzez umieszczenie na rewersie recepty adnotacji o numerze i rodzaju dokumentu.</w:t>
            </w:r>
          </w:p>
          <w:p w:rsidR="00172AAC" w:rsidRPr="00172AAC" w:rsidRDefault="00172AAC" w:rsidP="00172AAC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hanging="277"/>
              <w:rPr>
                <w:sz w:val="20"/>
                <w:szCs w:val="20"/>
              </w:rPr>
            </w:pPr>
            <w:r w:rsidRPr="00172AAC">
              <w:rPr>
                <w:sz w:val="20"/>
                <w:szCs w:val="20"/>
              </w:rPr>
              <w:t xml:space="preserve">Przekazywać POW NFZ kompletne dane o obrocie refundowanymi lekami, środkami spożywczymi specjalnego przeznaczenia żywieniowego i wyrobami medycznymi, zgodne ze stanem rzeczywistym </w:t>
            </w:r>
            <w:r w:rsidRPr="00172AAC">
              <w:rPr>
                <w:sz w:val="20"/>
                <w:szCs w:val="20"/>
              </w:rPr>
              <w:br/>
              <w:t>i treścią realizowanych recept, stosownie do wymogów określonych w art. 45 ustawy o refundacji.</w:t>
            </w:r>
          </w:p>
          <w:p w:rsidR="00172AAC" w:rsidRPr="00172AAC" w:rsidRDefault="00172AAC" w:rsidP="00172AAC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hanging="277"/>
              <w:rPr>
                <w:sz w:val="20"/>
                <w:szCs w:val="20"/>
              </w:rPr>
            </w:pPr>
            <w:r w:rsidRPr="00172AAC">
              <w:rPr>
                <w:sz w:val="20"/>
                <w:szCs w:val="20"/>
              </w:rPr>
              <w:t>Złożyć korekty zbiorczych zestawień zrealizowanych recept oraz raportów o obrocie refundowanymi lekami i wyrobami medycznymi („XML”).</w:t>
            </w:r>
          </w:p>
          <w:p w:rsidR="005944F7" w:rsidRDefault="005944F7" w:rsidP="0017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172AAC" w:rsidRPr="00172AAC" w:rsidRDefault="00172AAC" w:rsidP="0017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sz w:val="20"/>
                <w:szCs w:val="20"/>
              </w:rPr>
              <w:t>Nienależna refundacja: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AAC">
              <w:rPr>
                <w:rFonts w:ascii="Times New Roman" w:hAnsi="Times New Roman" w:cs="Times New Roman"/>
                <w:sz w:val="20"/>
                <w:szCs w:val="20"/>
              </w:rPr>
              <w:t>147,29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5225FC" w:rsidRPr="005D6A0F" w:rsidRDefault="000F427D" w:rsidP="0015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2A17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788" w:rsidRPr="0015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7C" w:rsidRPr="002A177C">
              <w:rPr>
                <w:rFonts w:ascii="Times New Roman" w:hAnsi="Times New Roman" w:cs="Times New Roman"/>
                <w:sz w:val="20"/>
                <w:szCs w:val="20"/>
              </w:rPr>
              <w:t>326,04</w:t>
            </w:r>
            <w:r w:rsidR="002A177C" w:rsidRPr="002A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788" w:rsidRPr="0015778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bookmarkStart w:id="0" w:name="_GoBack"/>
            <w:bookmarkEnd w:id="0"/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A8" w:rsidRDefault="008419A8" w:rsidP="006853F6">
      <w:pPr>
        <w:spacing w:after="0" w:line="240" w:lineRule="auto"/>
      </w:pPr>
      <w:r>
        <w:separator/>
      </w:r>
    </w:p>
  </w:endnote>
  <w:endnote w:type="continuationSeparator" w:id="0">
    <w:p w:rsidR="008419A8" w:rsidRDefault="008419A8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17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17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A8" w:rsidRDefault="008419A8" w:rsidP="006853F6">
      <w:pPr>
        <w:spacing w:after="0" w:line="240" w:lineRule="auto"/>
      </w:pPr>
      <w:r>
        <w:separator/>
      </w:r>
    </w:p>
  </w:footnote>
  <w:footnote w:type="continuationSeparator" w:id="0">
    <w:p w:rsidR="008419A8" w:rsidRDefault="008419A8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0BB8"/>
    <w:multiLevelType w:val="hybridMultilevel"/>
    <w:tmpl w:val="E618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A3CAE6A8"/>
    <w:lvl w:ilvl="0" w:tplc="759C7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3"/>
  </w:num>
  <w:num w:numId="5">
    <w:abstractNumId w:val="24"/>
  </w:num>
  <w:num w:numId="6">
    <w:abstractNumId w:val="5"/>
  </w:num>
  <w:num w:numId="7">
    <w:abstractNumId w:val="3"/>
  </w:num>
  <w:num w:numId="8">
    <w:abstractNumId w:val="17"/>
  </w:num>
  <w:num w:numId="9">
    <w:abstractNumId w:val="36"/>
  </w:num>
  <w:num w:numId="10">
    <w:abstractNumId w:val="13"/>
  </w:num>
  <w:num w:numId="11">
    <w:abstractNumId w:val="14"/>
  </w:num>
  <w:num w:numId="12">
    <w:abstractNumId w:val="20"/>
  </w:num>
  <w:num w:numId="13">
    <w:abstractNumId w:val="33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34"/>
  </w:num>
  <w:num w:numId="23">
    <w:abstractNumId w:val="29"/>
  </w:num>
  <w:num w:numId="24">
    <w:abstractNumId w:val="22"/>
  </w:num>
  <w:num w:numId="25">
    <w:abstractNumId w:val="3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21"/>
  </w:num>
  <w:num w:numId="37">
    <w:abstractNumId w:val="26"/>
  </w:num>
  <w:num w:numId="38">
    <w:abstractNumId w:val="18"/>
  </w:num>
  <w:num w:numId="39">
    <w:abstractNumId w:val="25"/>
  </w:num>
  <w:num w:numId="40">
    <w:abstractNumId w:val="1"/>
  </w:num>
  <w:num w:numId="41">
    <w:abstractNumId w:val="35"/>
  </w:num>
  <w:num w:numId="42">
    <w:abstractNumId w:val="27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57788"/>
    <w:rsid w:val="00172AAC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177C"/>
    <w:rsid w:val="002A7236"/>
    <w:rsid w:val="00307483"/>
    <w:rsid w:val="003106F9"/>
    <w:rsid w:val="00340CBE"/>
    <w:rsid w:val="003669CF"/>
    <w:rsid w:val="003C0BD8"/>
    <w:rsid w:val="003C6457"/>
    <w:rsid w:val="003D0D6D"/>
    <w:rsid w:val="003D40EB"/>
    <w:rsid w:val="003E7149"/>
    <w:rsid w:val="003F789E"/>
    <w:rsid w:val="0040574A"/>
    <w:rsid w:val="00437BA8"/>
    <w:rsid w:val="004467FF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F254F"/>
    <w:rsid w:val="0076359A"/>
    <w:rsid w:val="00783D03"/>
    <w:rsid w:val="00785D9E"/>
    <w:rsid w:val="00786182"/>
    <w:rsid w:val="007F6751"/>
    <w:rsid w:val="00810A7B"/>
    <w:rsid w:val="00831BE3"/>
    <w:rsid w:val="008419A8"/>
    <w:rsid w:val="008627BB"/>
    <w:rsid w:val="0086789E"/>
    <w:rsid w:val="0088045C"/>
    <w:rsid w:val="0088316E"/>
    <w:rsid w:val="0088677C"/>
    <w:rsid w:val="00891C9E"/>
    <w:rsid w:val="008B26F4"/>
    <w:rsid w:val="008B7FD2"/>
    <w:rsid w:val="008C5810"/>
    <w:rsid w:val="008C67EC"/>
    <w:rsid w:val="008D63EF"/>
    <w:rsid w:val="008F7A66"/>
    <w:rsid w:val="00932B54"/>
    <w:rsid w:val="00942ADD"/>
    <w:rsid w:val="0094757F"/>
    <w:rsid w:val="00955CFE"/>
    <w:rsid w:val="00955FF0"/>
    <w:rsid w:val="0096507F"/>
    <w:rsid w:val="00996AD7"/>
    <w:rsid w:val="009B3F27"/>
    <w:rsid w:val="009B4C38"/>
    <w:rsid w:val="009C5307"/>
    <w:rsid w:val="009F592A"/>
    <w:rsid w:val="00A03803"/>
    <w:rsid w:val="00A12208"/>
    <w:rsid w:val="00A32D28"/>
    <w:rsid w:val="00A44F4E"/>
    <w:rsid w:val="00A45DCD"/>
    <w:rsid w:val="00A5460D"/>
    <w:rsid w:val="00A5675D"/>
    <w:rsid w:val="00A74FC0"/>
    <w:rsid w:val="00AC5CCA"/>
    <w:rsid w:val="00AE4C5E"/>
    <w:rsid w:val="00AF0DC3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318E1"/>
    <w:rsid w:val="00C75787"/>
    <w:rsid w:val="00CF2B90"/>
    <w:rsid w:val="00D151B0"/>
    <w:rsid w:val="00D22E25"/>
    <w:rsid w:val="00D30B8B"/>
    <w:rsid w:val="00D43744"/>
    <w:rsid w:val="00D5075F"/>
    <w:rsid w:val="00D512BB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7189"/>
    <w:rsid w:val="00E27611"/>
    <w:rsid w:val="00E4276E"/>
    <w:rsid w:val="00E65408"/>
    <w:rsid w:val="00E67B93"/>
    <w:rsid w:val="00EC01C8"/>
    <w:rsid w:val="00EC71E4"/>
    <w:rsid w:val="00EF15EA"/>
    <w:rsid w:val="00EF2ED6"/>
    <w:rsid w:val="00F05CF9"/>
    <w:rsid w:val="00F05D11"/>
    <w:rsid w:val="00F15097"/>
    <w:rsid w:val="00F16AAC"/>
    <w:rsid w:val="00F30825"/>
    <w:rsid w:val="00F36776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26E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9</cp:revision>
  <dcterms:created xsi:type="dcterms:W3CDTF">2019-05-30T06:18:00Z</dcterms:created>
  <dcterms:modified xsi:type="dcterms:W3CDTF">2019-05-30T06:36:00Z</dcterms:modified>
</cp:coreProperties>
</file>