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C3559" w:rsidRPr="00BC3559">
        <w:rPr>
          <w:rFonts w:ascii="Times New Roman" w:eastAsia="Times New Roman" w:hAnsi="Times New Roman" w:cs="Times New Roman"/>
          <w:lang w:eastAsia="pl-PL"/>
        </w:rPr>
        <w:t xml:space="preserve">10.7310.004.2018.WDKAR  </w:t>
      </w:r>
      <w:r w:rsidR="00730851">
        <w:t xml:space="preserve">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B74AA8" w:rsidRDefault="00BC3559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4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10.7310.004.2018.WDKAR  </w:t>
            </w:r>
            <w:r w:rsidR="00730851" w:rsidRPr="00B74AA8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31414D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31414D"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października 2018 r.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31414D"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 lutego 2019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440F63" w:rsidRDefault="00440F63" w:rsidP="00440F6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Uniwersytecki Szpital Kliniczny,</w:t>
            </w:r>
            <w:r w:rsidR="004C09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40F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 Marii Skłodowskiej-Curie 24A, 15-276 Białystok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440F63" w:rsidRDefault="00D22E25" w:rsidP="00F30825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0F6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31414D" w:rsidP="009B33D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Ocena prawidłowości rozliczania leków stosowanych w chemioterapii z katalogu chemioterapii</w:t>
            </w:r>
            <w:r w:rsidR="00730851" w:rsidRPr="00440F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BC35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Sprawdzenie prawidłowości realizacji umów o udzielanie świadczeń opieki zdrowotnej w rodzaju leczenie szpitalne - chemioterapia ze szczególnym uwzględnieniem ordynowania leków stosowanych w ramach katalogu leków refundowanych stosowanych w chemioterapii, które posiadają status </w:t>
            </w:r>
            <w:proofErr w:type="spellStart"/>
            <w:r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Rp</w:t>
            </w:r>
            <w:proofErr w:type="spellEnd"/>
            <w:r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440F63" w:rsidRPr="00440F63" w:rsidRDefault="0031414D" w:rsidP="009B33D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styczeń 2016 r. – wrzesień 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31414D" w:rsidRPr="00075157" w:rsidRDefault="0031414D" w:rsidP="0031414D">
            <w:pPr>
              <w:pStyle w:val="Akapitzlist"/>
              <w:numPr>
                <w:ilvl w:val="0"/>
                <w:numId w:val="49"/>
              </w:numPr>
              <w:ind w:left="225" w:hanging="283"/>
              <w:jc w:val="both"/>
              <w:rPr>
                <w:sz w:val="20"/>
                <w:szCs w:val="20"/>
              </w:rPr>
            </w:pPr>
            <w:r w:rsidRPr="0031414D">
              <w:rPr>
                <w:b/>
                <w:sz w:val="20"/>
                <w:szCs w:val="20"/>
              </w:rPr>
              <w:t xml:space="preserve">Negatywnie </w:t>
            </w:r>
            <w:r w:rsidRPr="0031414D">
              <w:rPr>
                <w:sz w:val="20"/>
                <w:szCs w:val="20"/>
              </w:rPr>
              <w:t>biorąc pod uwagę kryterium legalności, rzetelności i celowości</w:t>
            </w:r>
            <w:r w:rsidRPr="0031414D">
              <w:rPr>
                <w:b/>
                <w:sz w:val="20"/>
                <w:szCs w:val="20"/>
              </w:rPr>
              <w:t xml:space="preserve"> </w:t>
            </w:r>
            <w:r w:rsidRPr="0031414D">
              <w:rPr>
                <w:sz w:val="20"/>
                <w:szCs w:val="20"/>
              </w:rPr>
              <w:t>należy ocenić działalność podmiotu kontrolowanego w zakresie realizacji procedur związanych z wybranymi lekami stosowanymi w związku z udzielaniem świadczeń chemioterapii</w:t>
            </w:r>
            <w:r>
              <w:rPr>
                <w:sz w:val="20"/>
                <w:szCs w:val="20"/>
              </w:rPr>
              <w:t xml:space="preserve">. </w:t>
            </w:r>
            <w:r w:rsidRPr="0031414D">
              <w:rPr>
                <w:sz w:val="20"/>
                <w:szCs w:val="20"/>
              </w:rPr>
              <w:t>Świadczeniodawca w sposób</w:t>
            </w:r>
            <w:r w:rsidRPr="0031414D">
              <w:rPr>
                <w:b/>
                <w:sz w:val="20"/>
                <w:szCs w:val="20"/>
              </w:rPr>
              <w:t xml:space="preserve"> rażący</w:t>
            </w:r>
            <w:r w:rsidRPr="0031414D">
              <w:rPr>
                <w:sz w:val="20"/>
                <w:szCs w:val="20"/>
              </w:rPr>
              <w:t xml:space="preserve"> naruszył warunki zawartych umów w zakresie sposobu zaopatrzenia pacjentów objętych świadczeniami chemioterapii w leki. Kontrola wykazała bowiem, że w przypadku 24 pacjentów spośród 27, których dokumentacja podlegała kontroli, leczonych z zastosowaniem preparatów kwasu </w:t>
            </w:r>
            <w:proofErr w:type="spellStart"/>
            <w:r w:rsidRPr="0031414D">
              <w:rPr>
                <w:sz w:val="20"/>
                <w:szCs w:val="20"/>
              </w:rPr>
              <w:t>zoledronowego</w:t>
            </w:r>
            <w:proofErr w:type="spellEnd"/>
            <w:r w:rsidRPr="0031414D">
              <w:rPr>
                <w:sz w:val="20"/>
                <w:szCs w:val="20"/>
              </w:rPr>
              <w:t xml:space="preserve">, </w:t>
            </w:r>
            <w:proofErr w:type="spellStart"/>
            <w:r w:rsidRPr="0031414D">
              <w:rPr>
                <w:sz w:val="20"/>
                <w:szCs w:val="20"/>
              </w:rPr>
              <w:t>worykonazolu</w:t>
            </w:r>
            <w:proofErr w:type="spellEnd"/>
            <w:r w:rsidRPr="0031414D">
              <w:rPr>
                <w:sz w:val="20"/>
                <w:szCs w:val="20"/>
              </w:rPr>
              <w:t xml:space="preserve"> oraz </w:t>
            </w:r>
            <w:proofErr w:type="spellStart"/>
            <w:r w:rsidRPr="0031414D">
              <w:rPr>
                <w:sz w:val="20"/>
                <w:szCs w:val="20"/>
              </w:rPr>
              <w:t>hydroksykarbamidu</w:t>
            </w:r>
            <w:proofErr w:type="spellEnd"/>
            <w:r w:rsidRPr="0031414D">
              <w:rPr>
                <w:sz w:val="20"/>
                <w:szCs w:val="20"/>
              </w:rPr>
              <w:t xml:space="preserve"> w ramach chemioterapii w trybie hospitalizacji oraz jednodniowym, Kontrolowany, pomimo tego że obowiązany był zapewnić im leki we własnym zakresie, wystawiał recepty. Recepty, w ilości 29, wypisane zostały w okresie od 8 sierpnia 2016 r. do 20 września 2017 r., zaś na ich podstawie POW NFZ zrefundował 42 opakowania leków, zawierających ww. substancje na łączną kwotę 15 510,87 zł</w:t>
            </w:r>
            <w:r w:rsidR="00075157">
              <w:rPr>
                <w:sz w:val="20"/>
                <w:szCs w:val="20"/>
              </w:rPr>
              <w:t xml:space="preserve">. </w:t>
            </w:r>
            <w:r w:rsidR="00075157" w:rsidRPr="00075157">
              <w:rPr>
                <w:sz w:val="20"/>
                <w:szCs w:val="20"/>
              </w:rPr>
              <w:t>Działania takie były nielegalne, niecelowe oraz nierzetelne.</w:t>
            </w:r>
            <w:r w:rsidR="00075157" w:rsidRPr="00075157">
              <w:rPr>
                <w:color w:val="000000"/>
                <w:sz w:val="20"/>
                <w:szCs w:val="20"/>
              </w:rPr>
              <w:t xml:space="preserve"> Wypisywane na receptach preparaty kwasu </w:t>
            </w:r>
            <w:proofErr w:type="spellStart"/>
            <w:r w:rsidR="00075157" w:rsidRPr="00075157">
              <w:rPr>
                <w:color w:val="000000"/>
                <w:sz w:val="20"/>
                <w:szCs w:val="20"/>
              </w:rPr>
              <w:t>zoledronowego</w:t>
            </w:r>
            <w:proofErr w:type="spellEnd"/>
            <w:r w:rsidR="00075157" w:rsidRPr="000751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75157" w:rsidRPr="00075157">
              <w:rPr>
                <w:color w:val="000000"/>
                <w:sz w:val="20"/>
                <w:szCs w:val="20"/>
              </w:rPr>
              <w:t>worykonazolu</w:t>
            </w:r>
            <w:proofErr w:type="spellEnd"/>
            <w:r w:rsidR="00075157" w:rsidRPr="00075157"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="00075157" w:rsidRPr="00075157">
              <w:rPr>
                <w:color w:val="000000"/>
                <w:sz w:val="20"/>
                <w:szCs w:val="20"/>
              </w:rPr>
              <w:t>hydroksykarbamidu</w:t>
            </w:r>
            <w:proofErr w:type="spellEnd"/>
            <w:r w:rsidR="00075157" w:rsidRPr="00075157">
              <w:rPr>
                <w:color w:val="000000"/>
                <w:sz w:val="20"/>
                <w:szCs w:val="20"/>
              </w:rPr>
              <w:t xml:space="preserve"> objęte zostały zarówno katalogiem leków stosowanych w chemioterapii, jak również dostępne były w refundacji otwartej, </w:t>
            </w:r>
            <w:r w:rsidR="00075157" w:rsidRPr="00075157">
              <w:rPr>
                <w:sz w:val="20"/>
                <w:szCs w:val="20"/>
              </w:rPr>
              <w:t>na podstawie recepty lekarskiej, przy czym wskazania refundacyjne zasadniczo pokrywały się</w:t>
            </w:r>
            <w:r w:rsidR="00075157">
              <w:rPr>
                <w:sz w:val="20"/>
                <w:szCs w:val="20"/>
              </w:rPr>
              <w:t>.</w:t>
            </w:r>
            <w:r w:rsidR="00075157" w:rsidRPr="00075157">
              <w:rPr>
                <w:sz w:val="22"/>
                <w:szCs w:val="22"/>
              </w:rPr>
              <w:t xml:space="preserve"> </w:t>
            </w:r>
            <w:r w:rsidR="00075157" w:rsidRPr="00075157">
              <w:rPr>
                <w:sz w:val="20"/>
                <w:szCs w:val="20"/>
              </w:rPr>
              <w:t xml:space="preserve">Kontrolowany nie wywiązał się należycie z obowiązków związanych z przeprowadzaniem </w:t>
            </w:r>
            <w:r w:rsidR="00075157" w:rsidRPr="00075157">
              <w:rPr>
                <w:bCs/>
                <w:sz w:val="20"/>
                <w:szCs w:val="20"/>
              </w:rPr>
              <w:t>oceny stanu sprawności pacjenta według skali WHO/</w:t>
            </w:r>
            <w:proofErr w:type="spellStart"/>
            <w:r w:rsidR="00075157" w:rsidRPr="00075157">
              <w:rPr>
                <w:bCs/>
                <w:sz w:val="20"/>
                <w:szCs w:val="20"/>
              </w:rPr>
              <w:t>Zubroda</w:t>
            </w:r>
            <w:proofErr w:type="spellEnd"/>
            <w:r w:rsidR="00075157" w:rsidRPr="00075157">
              <w:rPr>
                <w:bCs/>
                <w:sz w:val="20"/>
                <w:szCs w:val="20"/>
              </w:rPr>
              <w:t>/ECOG</w:t>
            </w:r>
            <w:r w:rsidR="00075157" w:rsidRPr="00075157">
              <w:rPr>
                <w:sz w:val="20"/>
                <w:szCs w:val="20"/>
              </w:rPr>
              <w:t xml:space="preserve">. Zgodnie z postanowieniami </w:t>
            </w:r>
            <w:r w:rsidR="00075157" w:rsidRPr="00075157">
              <w:rPr>
                <w:bCs/>
                <w:sz w:val="20"/>
                <w:szCs w:val="20"/>
              </w:rPr>
              <w:t xml:space="preserve">§ 11 ust. 8 zarządzenia nr 80/2014/DGL Prezesa NFZ oraz § 9 ust. 7 zarządzenia nr 68/2016/DGL należało ją przeprowadzać przed każdym cyklem chemioterapii, a także załączyć do </w:t>
            </w:r>
            <w:r w:rsidR="00075157">
              <w:rPr>
                <w:bCs/>
                <w:sz w:val="20"/>
                <w:szCs w:val="20"/>
              </w:rPr>
              <w:t xml:space="preserve">dokumentacji medycznej </w:t>
            </w:r>
            <w:r w:rsidR="00075157" w:rsidRPr="00075157">
              <w:rPr>
                <w:bCs/>
                <w:sz w:val="20"/>
                <w:szCs w:val="20"/>
              </w:rPr>
              <w:t>oraz sprawozdać łącznie ze świadczeniem. Na podstawie przeanalizowanych historii chorób oraz danych sprawozdawczych o zrealizowanych świadczeniach stwierdzono, że w przypadku 13 pacjentów (48,15 % skontrolowanych dokumentacji), pomimo że do POW NFZ sprawozdano informacje o określonym stopniu sprawności, to w zakresie 19 procedur (1,58% skontrolowanych), w historiach chorób brak było potwierdzenia faktu przeprowadzenia takiej oceny, a sprawozdane w tym zakresie dane nie zostały udokumentowane.</w:t>
            </w:r>
            <w:r w:rsidR="00075157">
              <w:rPr>
                <w:bCs/>
                <w:sz w:val="20"/>
                <w:szCs w:val="20"/>
              </w:rPr>
              <w:t xml:space="preserve"> </w:t>
            </w:r>
          </w:p>
          <w:p w:rsidR="00075157" w:rsidRDefault="00075157" w:rsidP="0031414D">
            <w:pPr>
              <w:pStyle w:val="Akapitzlist"/>
              <w:numPr>
                <w:ilvl w:val="0"/>
                <w:numId w:val="49"/>
              </w:numPr>
              <w:ind w:left="225" w:hanging="283"/>
              <w:jc w:val="both"/>
              <w:rPr>
                <w:sz w:val="20"/>
                <w:szCs w:val="20"/>
              </w:rPr>
            </w:pPr>
            <w:r w:rsidRPr="00075157">
              <w:rPr>
                <w:sz w:val="20"/>
                <w:szCs w:val="20"/>
              </w:rPr>
              <w:t>Negatywnie biorąc pod uwagę kryterium legalności i rzetelności oceniono działalność podmiotu kontrolowanego w zakresie zgodności realizacji świadczeń opieki zdrowotnej dotyczących chemioterapii w trybie hospitalizacji oraz w trybie jednodniowym z określonymi dla nich warunkami wykonywania pod względem kwalifikacji i uprawnień personelu medycznego.</w:t>
            </w:r>
            <w:r w:rsidR="00A95ABD">
              <w:rPr>
                <w:sz w:val="20"/>
                <w:szCs w:val="20"/>
              </w:rPr>
              <w:t xml:space="preserve"> </w:t>
            </w:r>
            <w:r w:rsidR="00A95ABD" w:rsidRPr="00A95ABD">
              <w:rPr>
                <w:sz w:val="20"/>
                <w:szCs w:val="20"/>
              </w:rPr>
              <w:t xml:space="preserve">Z przeanalizowanej dokumentacji medycznej wynika, że w okresie objętym kontrolą świadczenia te udzielane były przez 17 lekarzy, który nie posiadali specjalizacji wymaganej dla ich realizacji przez wskazane przepisy lub personel niezgłoszony do umów nr 10-00-00068-12-42-03/03 oraz 10-00-00068-13-49-03/03. Nieprawidłowość ta dotyczy procedur zrealizowanych na rzecz 17 pacjentów (62,97 % </w:t>
            </w:r>
            <w:r w:rsidR="00A95ABD" w:rsidRPr="00A95ABD">
              <w:rPr>
                <w:sz w:val="20"/>
                <w:szCs w:val="20"/>
              </w:rPr>
              <w:lastRenderedPageBreak/>
              <w:t>skontrolowanych dokumentacji), w ramach 35 hospitalizacji. Ww. osoby m.in. autoryzowały obserwacje lekarskie oraz zlecały poszczególnym chorym leki. Szpital natomiast raportował dane tych osób jako udzielających świadczeń w przekazywanej POW NFZ sprawozdawczości z realizacji umów.</w:t>
            </w:r>
            <w:r w:rsidR="00A95ABD">
              <w:rPr>
                <w:sz w:val="20"/>
                <w:szCs w:val="20"/>
              </w:rPr>
              <w:t xml:space="preserve"> </w:t>
            </w:r>
            <w:r w:rsidR="00A95ABD" w:rsidRPr="00A95ABD">
              <w:rPr>
                <w:sz w:val="20"/>
                <w:szCs w:val="20"/>
              </w:rPr>
              <w:t xml:space="preserve">Lekarze, nie mający wymaganej specjalizacji lub będący w jej trakcie, do których odnosi się w treści wyjaśnień Świadczeniodawca, jak również nie zgłoszeni do umów – nie posiadali uprawnień do udzielania świadczeń opieki zdrowotnej w zakresie kontrolowanych świadczeń chemioterapii na podstawie umów </w:t>
            </w:r>
            <w:r w:rsidR="00A95ABD">
              <w:rPr>
                <w:sz w:val="20"/>
                <w:szCs w:val="20"/>
              </w:rPr>
              <w:t xml:space="preserve"> </w:t>
            </w:r>
            <w:r w:rsidR="00A95ABD" w:rsidRPr="00A95ABD">
              <w:rPr>
                <w:sz w:val="20"/>
                <w:szCs w:val="20"/>
              </w:rPr>
              <w:t xml:space="preserve">nr 10-00-00068-12-42-03/03 oraz 10-00-00068-13-49-03/03. Tym samym wykonane przez nich procedury nie podlegają finansowaniu w ramach środków przewidzianych w tych umowach. Biorąc pod uwagę, że ww. świadczenia medyczne zostały zrealizowane niezgodnie z warunkami tych umów, w przypadku 416 procedur dotyczących </w:t>
            </w:r>
            <w:r w:rsidR="00A95ABD" w:rsidRPr="00A95ABD">
              <w:rPr>
                <w:b/>
                <w:sz w:val="20"/>
                <w:szCs w:val="20"/>
              </w:rPr>
              <w:t>17</w:t>
            </w:r>
            <w:r w:rsidR="00A95ABD" w:rsidRPr="00A95ABD">
              <w:rPr>
                <w:sz w:val="20"/>
                <w:szCs w:val="20"/>
              </w:rPr>
              <w:t xml:space="preserve"> pacjentów, środki na ich refundację uznać należy za przekazane przez POW NFZ nienależnie</w:t>
            </w:r>
            <w:r w:rsidR="00A95ABD">
              <w:rPr>
                <w:sz w:val="20"/>
                <w:szCs w:val="20"/>
              </w:rPr>
              <w:t>.</w:t>
            </w:r>
          </w:p>
          <w:p w:rsidR="00A95ABD" w:rsidRPr="00A95ABD" w:rsidRDefault="00A95ABD" w:rsidP="0031414D">
            <w:pPr>
              <w:pStyle w:val="Akapitzlist"/>
              <w:numPr>
                <w:ilvl w:val="0"/>
                <w:numId w:val="49"/>
              </w:numPr>
              <w:ind w:left="225" w:hanging="283"/>
              <w:jc w:val="both"/>
              <w:rPr>
                <w:sz w:val="20"/>
                <w:szCs w:val="20"/>
              </w:rPr>
            </w:pPr>
            <w:r w:rsidRPr="00A95ABD">
              <w:rPr>
                <w:b/>
                <w:sz w:val="22"/>
                <w:szCs w:val="22"/>
              </w:rPr>
              <w:t>Pozytywnie z nieprawidłowościami</w:t>
            </w:r>
            <w:r w:rsidRPr="00A95ABD">
              <w:rPr>
                <w:sz w:val="22"/>
                <w:szCs w:val="22"/>
              </w:rPr>
              <w:t>,</w:t>
            </w:r>
            <w:r w:rsidRPr="00A95ABD">
              <w:rPr>
                <w:b/>
                <w:sz w:val="22"/>
                <w:szCs w:val="22"/>
              </w:rPr>
              <w:t xml:space="preserve"> </w:t>
            </w:r>
            <w:r w:rsidRPr="00A95ABD">
              <w:rPr>
                <w:sz w:val="22"/>
                <w:szCs w:val="22"/>
              </w:rPr>
              <w:t>biorąc pod uwagę</w:t>
            </w:r>
            <w:r w:rsidRPr="00A95ABD">
              <w:rPr>
                <w:b/>
                <w:sz w:val="22"/>
                <w:szCs w:val="22"/>
              </w:rPr>
              <w:t xml:space="preserve"> </w:t>
            </w:r>
            <w:r w:rsidRPr="00A95ABD">
              <w:rPr>
                <w:sz w:val="22"/>
                <w:szCs w:val="22"/>
              </w:rPr>
              <w:t xml:space="preserve">kryterium legalności i rzetelności należy ocenić działalność podmiotu kontrolowanego pod względem prawidłowości dokumentowania świadczeń udzielanych pacjentom objętym leczeniem w ramach umów nr </w:t>
            </w:r>
            <w:r w:rsidRPr="00A95ABD">
              <w:rPr>
                <w:color w:val="000000"/>
                <w:sz w:val="22"/>
                <w:szCs w:val="22"/>
              </w:rPr>
              <w:t xml:space="preserve">10-00-00068-12-42-03/03 </w:t>
            </w:r>
            <w:r w:rsidRPr="00A95ABD">
              <w:rPr>
                <w:sz w:val="22"/>
                <w:szCs w:val="22"/>
              </w:rPr>
              <w:t xml:space="preserve">oraz </w:t>
            </w:r>
            <w:r w:rsidRPr="00A95ABD">
              <w:rPr>
                <w:color w:val="000000"/>
                <w:sz w:val="22"/>
                <w:szCs w:val="22"/>
              </w:rPr>
              <w:t>10-00-00068-13-49-03/03</w:t>
            </w:r>
            <w:r w:rsidRPr="00A95ABD">
              <w:rPr>
                <w:sz w:val="22"/>
                <w:szCs w:val="22"/>
              </w:rPr>
              <w:t>.</w:t>
            </w:r>
          </w:p>
          <w:p w:rsidR="007036E1" w:rsidRPr="001D22F1" w:rsidRDefault="00A95ABD" w:rsidP="001D22F1">
            <w:pPr>
              <w:pStyle w:val="Akapitzlist"/>
              <w:numPr>
                <w:ilvl w:val="0"/>
                <w:numId w:val="49"/>
              </w:numPr>
              <w:ind w:left="225" w:hanging="283"/>
              <w:jc w:val="both"/>
              <w:rPr>
                <w:sz w:val="20"/>
                <w:szCs w:val="20"/>
              </w:rPr>
            </w:pPr>
            <w:r w:rsidRPr="00A95ABD">
              <w:rPr>
                <w:b/>
                <w:sz w:val="20"/>
                <w:szCs w:val="20"/>
              </w:rPr>
              <w:t>Pozytywnie z nieprawidłowościami</w:t>
            </w:r>
            <w:r w:rsidRPr="00A95ABD">
              <w:rPr>
                <w:sz w:val="20"/>
                <w:szCs w:val="20"/>
              </w:rPr>
              <w:t>,</w:t>
            </w:r>
            <w:r w:rsidRPr="00A95ABD">
              <w:rPr>
                <w:b/>
                <w:sz w:val="20"/>
                <w:szCs w:val="20"/>
              </w:rPr>
              <w:t xml:space="preserve"> </w:t>
            </w:r>
            <w:r w:rsidRPr="00A95ABD">
              <w:rPr>
                <w:sz w:val="20"/>
                <w:szCs w:val="20"/>
              </w:rPr>
              <w:t>biorąc pod uwagę</w:t>
            </w:r>
            <w:r w:rsidRPr="00A95ABD">
              <w:rPr>
                <w:b/>
                <w:sz w:val="20"/>
                <w:szCs w:val="20"/>
              </w:rPr>
              <w:t xml:space="preserve"> </w:t>
            </w:r>
            <w:r w:rsidRPr="00A95ABD">
              <w:rPr>
                <w:sz w:val="20"/>
                <w:szCs w:val="20"/>
              </w:rPr>
              <w:t>kryterium legalności, rzetelności i celowości należy ocenić działalność podmiotu kontrolowanego pod względem sposobu rozliczeń z tyt. realizacji kontrolowanych świadczeń chemioterapii</w:t>
            </w:r>
            <w:r>
              <w:rPr>
                <w:sz w:val="20"/>
                <w:szCs w:val="20"/>
              </w:rPr>
              <w:t xml:space="preserve">. </w:t>
            </w:r>
            <w:r w:rsidRPr="00A95ABD">
              <w:rPr>
                <w:sz w:val="20"/>
                <w:szCs w:val="20"/>
              </w:rPr>
              <w:t>Świadczeniodawca nie udokumentował zasadności i prawidłowości rozliczenia 7 procedur (0,53% skontrolowanych) sprawozdanych za okres od 13 stycznia 2016 r. do 31 maja 2017 r.</w:t>
            </w:r>
            <w:r>
              <w:rPr>
                <w:sz w:val="20"/>
                <w:szCs w:val="20"/>
              </w:rPr>
              <w:t xml:space="preserve"> </w:t>
            </w:r>
            <w:r w:rsidRPr="00A95ABD">
              <w:rPr>
                <w:sz w:val="20"/>
                <w:szCs w:val="20"/>
              </w:rPr>
              <w:t xml:space="preserve"> W 27 przypadkach (2,05% skontrolowanych) rozliczone przez Szpital procedury dotyczące leków nie znalazły potwierdzenia w przeanalizowanej dokumentacji medycznej, co </w:t>
            </w:r>
            <w:r w:rsidRPr="00A95ABD">
              <w:rPr>
                <w:bCs/>
                <w:sz w:val="20"/>
                <w:szCs w:val="20"/>
              </w:rPr>
              <w:t>skutkowało przekazaniem w latach 2016-2017 przez Podlaski OW NFZ nienależnych środków finansowych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95ABD">
              <w:rPr>
                <w:bCs/>
                <w:sz w:val="20"/>
                <w:szCs w:val="20"/>
              </w:rPr>
              <w:t xml:space="preserve">Skontrolowane świadczenia </w:t>
            </w:r>
            <w:r w:rsidRPr="00A95ABD">
              <w:rPr>
                <w:bCs/>
                <w:i/>
                <w:sz w:val="20"/>
                <w:szCs w:val="20"/>
              </w:rPr>
              <w:t xml:space="preserve">hospitalizacja hematologiczna u dorosłych/zakwaterowanie </w:t>
            </w:r>
            <w:r w:rsidRPr="00A95ABD">
              <w:rPr>
                <w:bCs/>
                <w:sz w:val="20"/>
                <w:szCs w:val="20"/>
              </w:rPr>
              <w:t>(kod 5.08.05.0000170) oraz</w:t>
            </w:r>
            <w:r w:rsidRPr="00A95ABD">
              <w:rPr>
                <w:bCs/>
                <w:i/>
                <w:sz w:val="20"/>
                <w:szCs w:val="20"/>
              </w:rPr>
              <w:t xml:space="preserve"> hospitalizacja onkologiczna związana z chemioterapią u dorosłych/zakwaterowanie</w:t>
            </w:r>
            <w:r w:rsidRPr="00A95ABD">
              <w:rPr>
                <w:bCs/>
                <w:sz w:val="20"/>
                <w:szCs w:val="20"/>
              </w:rPr>
              <w:t xml:space="preserve"> (kod 5.08.05.0000171), jako spełniające kryteria wykonania określone dla nich w § 6 ust. 2 zarządzeń nr 80/2014/DGL oraz 68/2016/DGL, zostały sprawozdane i rozliczone do POW NFZ zasadnie.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95ABD">
              <w:rPr>
                <w:bCs/>
                <w:sz w:val="20"/>
                <w:szCs w:val="20"/>
              </w:rPr>
              <w:t>Szpital nie stosował się ponadto do zasad rozliczeń kosztów leków stosowanych w związku udzielanymi świadczeniami chemioterapii. Sposób postępowania przy wycenie procedur związanych z lekami określony został w § 15 ust. 3 pkt 2 zarządzenia nr 80/2014/DGL Prezesa NFZ i odpowiednio § 13 ust. 3 pkt 2 zarządzenia nr 68/2016/DGL</w:t>
            </w:r>
            <w:r w:rsidR="001D22F1">
              <w:rPr>
                <w:bCs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CE39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>Bezwzględnie przestrzegać obowiązku udzielania świadczeń przez personel medyczny zgłoszony  do zawartej umowy, posiadający kwalifikacje  i uprawnienia, zgodne z określonymi w obowiązujących przepisach.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Przestrzegać określonego w obowiązujących przepisach oraz w zawartej umowie sposobu udzielania świadczeń i zaopatrzenia pacjentów w leki. W sytuacji prowadzenia leczenia pacjentów objętych świadczeniami chemioterapii bezwzględnie zapewniać im leki zgodnie z warunkami zawartych umów, wyłącznie z własnych zasobów i na własny koszt, zapewniając kompleksowe świadczenia. 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Rozliczać do POW NFZ wyłącznie koszty leków spełniających kryteria refundacyjne określone w aktualnie obowiązującym obwieszczeniu w/s leków. 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Rozliczać do POW NFZ koszty świadczeń zgodnie ze stanem faktycznym oraz warunkami i kryteriami określonymi w zawartej umowie. Dołożyć należytej staranności przy kwalifikacji procedur medycznych podlegających rozliczeniu w NFZ, a w szczególności zwiększyć nadzór nad sporządzaniem obowiązującej sprawozdawczości oraz dokonywanych rozliczeń, aby całkowicie wyeliminować możliwość wystąpienia w tym zakresie błędów. 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>Stosować się do obowiązków związanych z oceną stanu sprawności pacjenta wg skali WHO/</w:t>
            </w:r>
            <w:proofErr w:type="spellStart"/>
            <w:r w:rsidRPr="001D22F1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/ECOG, a w szczególności </w:t>
            </w:r>
            <w:r w:rsidRPr="001D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rzetelnie dokumentować jej przeprowadzenie przed rozpoczęciem każdego cyklu chemioterapii oraz sprawozdawać zgodnie z wymogami obowiązującego zarządzenia Prezesa NFZ w sprawie określenia warunków zawierania i realizacji umów w rodzaju leczenie szpitalne w zakresie chemioterapia.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Przechowywać indywidualną dokumentację medyczną w sposób przewidziany w przepisach ustawy z dnia 6 listopada 2008 r. o prawach pacjenta i Rzeczniku Praw Pacjenta (j.t. Dz. U. z 2017 r. poz. 1318, z </w:t>
            </w:r>
            <w:proofErr w:type="spellStart"/>
            <w:r w:rsidRPr="001D22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. zm.) oraz zgodnie z wymogami obowiązującego rozporządzenia w/s dokumentacji, tj. przez wymagany czas, zapewniając odpowiednie warunki zabezpieczające dokumentację przed zniszczeniem, uszkodzeniem lub utratą i dostępem osób nieupoważnionych, a także umożliwiające jej wykorzystanie bez zbędnej zwłoki. 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 xml:space="preserve">Zwiększyć nadzór nad sporządzaniem dokumentacji medycznej wymaganej w związku z realizacją świadczeń chemioterapii, zapewniając jej pełną zgodność z wymogami określonymi w obowiązującym zarządzeniu Prezesa NFZ w sprawie określenia warunków zawierania i realizacji umów w rodzaju leczenie szpitalne w zakresie chemioterapia oraz w rozporządzeniu w/s dokumentacji pod względem formalnym jak i zawartości. Rzetelnie dokumentować zlecenia leków, wskazując w treści indywidualnej dokumentacji medycznej jednoznacznie na rodzaj zastosowanego preparatu, w sposób umożliwiający powiązanie z danymi sprawozdawczymi w tym zakresie. </w:t>
            </w:r>
          </w:p>
          <w:p w:rsidR="001D22F1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1">
              <w:rPr>
                <w:rFonts w:ascii="Times New Roman" w:hAnsi="Times New Roman" w:cs="Times New Roman"/>
                <w:sz w:val="20"/>
                <w:szCs w:val="20"/>
              </w:rPr>
              <w:t>Przechowywać i udostępniać bezzwłocznie do kontroli faktury stanowiące podstawę sporządzenia sprawozdania dotyczącego „Ewidencji faktur” oraz wyceny kosztów leków stosowanych w związku z udzielanymi świadczeniami chemioterapii.</w:t>
            </w:r>
          </w:p>
          <w:p w:rsidR="00EF1F09" w:rsidRPr="001D22F1" w:rsidRDefault="001D22F1" w:rsidP="001D22F1">
            <w:pPr>
              <w:pStyle w:val="Tekstpodstawowy"/>
              <w:numPr>
                <w:ilvl w:val="0"/>
                <w:numId w:val="48"/>
              </w:numPr>
              <w:spacing w:after="0" w:line="276" w:lineRule="auto"/>
              <w:ind w:left="225"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39C7" w:rsidRPr="001D22F1">
              <w:rPr>
                <w:rFonts w:ascii="Times New Roman" w:hAnsi="Times New Roman" w:cs="Times New Roman"/>
                <w:sz w:val="20"/>
                <w:szCs w:val="20"/>
              </w:rPr>
              <w:t>Złożyć korekty faktury oraz raportów statysty</w:t>
            </w:r>
            <w:r w:rsidR="00984F1F" w:rsidRPr="001D22F1">
              <w:rPr>
                <w:rFonts w:ascii="Times New Roman" w:hAnsi="Times New Roman" w:cs="Times New Roman"/>
                <w:sz w:val="20"/>
                <w:szCs w:val="20"/>
              </w:rPr>
              <w:t>cznych.</w:t>
            </w:r>
          </w:p>
          <w:p w:rsidR="00E239EB" w:rsidRDefault="005944F7" w:rsidP="00EF1F09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CE39C7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A263A">
              <w:rPr>
                <w:rFonts w:ascii="Times New Roman" w:hAnsi="Times New Roman" w:cs="Times New Roman"/>
                <w:sz w:val="20"/>
                <w:szCs w:val="20"/>
              </w:rPr>
              <w:t>ienależne 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63A" w:rsidRPr="00313DCB">
              <w:rPr>
                <w:b/>
              </w:rPr>
              <w:t xml:space="preserve"> </w:t>
            </w:r>
            <w:r w:rsidR="00992048" w:rsidRPr="00992048">
              <w:rPr>
                <w:rFonts w:ascii="Times New Roman" w:hAnsi="Times New Roman" w:cs="Times New Roman"/>
                <w:sz w:val="20"/>
                <w:szCs w:val="20"/>
              </w:rPr>
              <w:t>162 532,21 zł</w:t>
            </w:r>
            <w:r w:rsidR="009920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25FC" w:rsidRPr="005D6A0F" w:rsidRDefault="000F427D" w:rsidP="00992048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BA26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2048">
              <w:rPr>
                <w:rFonts w:ascii="Times New Roman" w:hAnsi="Times New Roman" w:cs="Times New Roman"/>
                <w:sz w:val="20"/>
                <w:szCs w:val="20"/>
              </w:rPr>
              <w:t>405 482,04</w:t>
            </w:r>
            <w:bookmarkStart w:id="0" w:name="_GoBack"/>
            <w:bookmarkEnd w:id="0"/>
            <w:r w:rsidR="00BA263A" w:rsidRPr="00BA263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140C20" w:rsidRPr="005944F7" w:rsidRDefault="00140C20" w:rsidP="00BA263A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5B" w:rsidRDefault="0094685B" w:rsidP="006853F6">
      <w:pPr>
        <w:spacing w:after="0" w:line="240" w:lineRule="auto"/>
      </w:pPr>
      <w:r>
        <w:separator/>
      </w:r>
    </w:p>
  </w:endnote>
  <w:endnote w:type="continuationSeparator" w:id="0">
    <w:p w:rsidR="0094685B" w:rsidRDefault="0094685B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20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20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5B" w:rsidRDefault="0094685B" w:rsidP="006853F6">
      <w:pPr>
        <w:spacing w:after="0" w:line="240" w:lineRule="auto"/>
      </w:pPr>
      <w:r>
        <w:separator/>
      </w:r>
    </w:p>
  </w:footnote>
  <w:footnote w:type="continuationSeparator" w:id="0">
    <w:p w:rsidR="0094685B" w:rsidRDefault="0094685B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9506CC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100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5599"/>
    <w:multiLevelType w:val="hybridMultilevel"/>
    <w:tmpl w:val="2BC475C6"/>
    <w:lvl w:ilvl="0" w:tplc="B5921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7"/>
  </w:num>
  <w:num w:numId="4">
    <w:abstractNumId w:val="25"/>
  </w:num>
  <w:num w:numId="5">
    <w:abstractNumId w:val="26"/>
  </w:num>
  <w:num w:numId="6">
    <w:abstractNumId w:val="6"/>
  </w:num>
  <w:num w:numId="7">
    <w:abstractNumId w:val="4"/>
  </w:num>
  <w:num w:numId="8">
    <w:abstractNumId w:val="18"/>
  </w:num>
  <w:num w:numId="9">
    <w:abstractNumId w:val="42"/>
  </w:num>
  <w:num w:numId="10">
    <w:abstractNumId w:val="14"/>
  </w:num>
  <w:num w:numId="11">
    <w:abstractNumId w:val="15"/>
  </w:num>
  <w:num w:numId="12">
    <w:abstractNumId w:val="22"/>
  </w:num>
  <w:num w:numId="13">
    <w:abstractNumId w:val="38"/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7"/>
  </w:num>
  <w:num w:numId="20">
    <w:abstractNumId w:val="0"/>
  </w:num>
  <w:num w:numId="21">
    <w:abstractNumId w:val="9"/>
  </w:num>
  <w:num w:numId="22">
    <w:abstractNumId w:val="40"/>
  </w:num>
  <w:num w:numId="23">
    <w:abstractNumId w:val="34"/>
  </w:num>
  <w:num w:numId="24">
    <w:abstractNumId w:val="24"/>
  </w:num>
  <w:num w:numId="25">
    <w:abstractNumId w:val="3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23"/>
  </w:num>
  <w:num w:numId="37">
    <w:abstractNumId w:val="29"/>
  </w:num>
  <w:num w:numId="38">
    <w:abstractNumId w:val="19"/>
  </w:num>
  <w:num w:numId="39">
    <w:abstractNumId w:val="27"/>
  </w:num>
  <w:num w:numId="40">
    <w:abstractNumId w:val="2"/>
  </w:num>
  <w:num w:numId="41">
    <w:abstractNumId w:val="41"/>
  </w:num>
  <w:num w:numId="42">
    <w:abstractNumId w:val="30"/>
  </w:num>
  <w:num w:numId="43">
    <w:abstractNumId w:val="16"/>
  </w:num>
  <w:num w:numId="44">
    <w:abstractNumId w:val="39"/>
  </w:num>
  <w:num w:numId="45">
    <w:abstractNumId w:val="31"/>
  </w:num>
  <w:num w:numId="46">
    <w:abstractNumId w:val="20"/>
  </w:num>
  <w:num w:numId="47">
    <w:abstractNumId w:val="10"/>
  </w:num>
  <w:num w:numId="48">
    <w:abstractNumId w:val="32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5AE0"/>
    <w:rsid w:val="00005E2B"/>
    <w:rsid w:val="000520BC"/>
    <w:rsid w:val="00071AE5"/>
    <w:rsid w:val="00074B60"/>
    <w:rsid w:val="00075157"/>
    <w:rsid w:val="000801BD"/>
    <w:rsid w:val="000A56F5"/>
    <w:rsid w:val="000A76CF"/>
    <w:rsid w:val="000C3449"/>
    <w:rsid w:val="000D4442"/>
    <w:rsid w:val="000E4339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1DB5"/>
    <w:rsid w:val="00185194"/>
    <w:rsid w:val="00187BBA"/>
    <w:rsid w:val="00187EDF"/>
    <w:rsid w:val="001A1655"/>
    <w:rsid w:val="001A6D29"/>
    <w:rsid w:val="001B35BE"/>
    <w:rsid w:val="001D22F1"/>
    <w:rsid w:val="001E2D26"/>
    <w:rsid w:val="001E2E40"/>
    <w:rsid w:val="001E355C"/>
    <w:rsid w:val="001E4226"/>
    <w:rsid w:val="001E7C67"/>
    <w:rsid w:val="00224470"/>
    <w:rsid w:val="0023572B"/>
    <w:rsid w:val="00274377"/>
    <w:rsid w:val="0027689D"/>
    <w:rsid w:val="00281D08"/>
    <w:rsid w:val="002A7236"/>
    <w:rsid w:val="00307483"/>
    <w:rsid w:val="003106F9"/>
    <w:rsid w:val="0031414D"/>
    <w:rsid w:val="00325714"/>
    <w:rsid w:val="00340CBE"/>
    <w:rsid w:val="00364C4C"/>
    <w:rsid w:val="003669CF"/>
    <w:rsid w:val="00370BF1"/>
    <w:rsid w:val="003A57BF"/>
    <w:rsid w:val="003C0BD8"/>
    <w:rsid w:val="003C4579"/>
    <w:rsid w:val="003C6457"/>
    <w:rsid w:val="003D0D6D"/>
    <w:rsid w:val="003D40EB"/>
    <w:rsid w:val="003E2ED3"/>
    <w:rsid w:val="003E7149"/>
    <w:rsid w:val="003F32CE"/>
    <w:rsid w:val="0040574A"/>
    <w:rsid w:val="00427EDB"/>
    <w:rsid w:val="00437BA8"/>
    <w:rsid w:val="00440F63"/>
    <w:rsid w:val="004467FF"/>
    <w:rsid w:val="0048349D"/>
    <w:rsid w:val="004A2D34"/>
    <w:rsid w:val="004B5222"/>
    <w:rsid w:val="004B63F6"/>
    <w:rsid w:val="004C0976"/>
    <w:rsid w:val="004D7A71"/>
    <w:rsid w:val="004E0BEF"/>
    <w:rsid w:val="004F004D"/>
    <w:rsid w:val="005225FC"/>
    <w:rsid w:val="005868A9"/>
    <w:rsid w:val="005916D2"/>
    <w:rsid w:val="005944F7"/>
    <w:rsid w:val="005A609F"/>
    <w:rsid w:val="005B20D3"/>
    <w:rsid w:val="005B7DD0"/>
    <w:rsid w:val="005D176F"/>
    <w:rsid w:val="005D29EB"/>
    <w:rsid w:val="005D6A0F"/>
    <w:rsid w:val="005E559E"/>
    <w:rsid w:val="00610AE3"/>
    <w:rsid w:val="00611D4F"/>
    <w:rsid w:val="00615F3F"/>
    <w:rsid w:val="00616F56"/>
    <w:rsid w:val="00626E61"/>
    <w:rsid w:val="00647885"/>
    <w:rsid w:val="00652CD9"/>
    <w:rsid w:val="006853F6"/>
    <w:rsid w:val="00695667"/>
    <w:rsid w:val="006A3F68"/>
    <w:rsid w:val="006B0CDA"/>
    <w:rsid w:val="006B2921"/>
    <w:rsid w:val="006F254F"/>
    <w:rsid w:val="007036E1"/>
    <w:rsid w:val="00711797"/>
    <w:rsid w:val="00730851"/>
    <w:rsid w:val="0076017C"/>
    <w:rsid w:val="0076359A"/>
    <w:rsid w:val="00783D03"/>
    <w:rsid w:val="00785D9E"/>
    <w:rsid w:val="00786182"/>
    <w:rsid w:val="007B5300"/>
    <w:rsid w:val="007C401A"/>
    <w:rsid w:val="007F6751"/>
    <w:rsid w:val="00810A7B"/>
    <w:rsid w:val="0083165C"/>
    <w:rsid w:val="00831BE3"/>
    <w:rsid w:val="008627BB"/>
    <w:rsid w:val="0086789E"/>
    <w:rsid w:val="0088045C"/>
    <w:rsid w:val="0088316E"/>
    <w:rsid w:val="00891C9E"/>
    <w:rsid w:val="008A717D"/>
    <w:rsid w:val="008B0009"/>
    <w:rsid w:val="008B26F4"/>
    <w:rsid w:val="008B7FD2"/>
    <w:rsid w:val="008C4F75"/>
    <w:rsid w:val="008C67EC"/>
    <w:rsid w:val="008D2969"/>
    <w:rsid w:val="008D63EF"/>
    <w:rsid w:val="008F7A66"/>
    <w:rsid w:val="00900F59"/>
    <w:rsid w:val="009175BE"/>
    <w:rsid w:val="00932FFC"/>
    <w:rsid w:val="00942ADD"/>
    <w:rsid w:val="0094685B"/>
    <w:rsid w:val="0094757F"/>
    <w:rsid w:val="00955CFE"/>
    <w:rsid w:val="009629F6"/>
    <w:rsid w:val="0096507F"/>
    <w:rsid w:val="00984F1F"/>
    <w:rsid w:val="00992048"/>
    <w:rsid w:val="00996AD7"/>
    <w:rsid w:val="009B33D6"/>
    <w:rsid w:val="009B3F27"/>
    <w:rsid w:val="009B4C38"/>
    <w:rsid w:val="009C5307"/>
    <w:rsid w:val="009C784A"/>
    <w:rsid w:val="009D39B3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95ABD"/>
    <w:rsid w:val="00AA567D"/>
    <w:rsid w:val="00AC5CCA"/>
    <w:rsid w:val="00AE4C5E"/>
    <w:rsid w:val="00AF0DC3"/>
    <w:rsid w:val="00B15F48"/>
    <w:rsid w:val="00B2195F"/>
    <w:rsid w:val="00B300EE"/>
    <w:rsid w:val="00B47FD2"/>
    <w:rsid w:val="00B62533"/>
    <w:rsid w:val="00B62CB7"/>
    <w:rsid w:val="00B64F70"/>
    <w:rsid w:val="00B74AA8"/>
    <w:rsid w:val="00B75708"/>
    <w:rsid w:val="00B81668"/>
    <w:rsid w:val="00B86B5D"/>
    <w:rsid w:val="00B86E9C"/>
    <w:rsid w:val="00B915E8"/>
    <w:rsid w:val="00BA263A"/>
    <w:rsid w:val="00BA3165"/>
    <w:rsid w:val="00BA5FC2"/>
    <w:rsid w:val="00BC3559"/>
    <w:rsid w:val="00BC44F8"/>
    <w:rsid w:val="00BC65F8"/>
    <w:rsid w:val="00BE3E8A"/>
    <w:rsid w:val="00BF1245"/>
    <w:rsid w:val="00BF5815"/>
    <w:rsid w:val="00C16B8F"/>
    <w:rsid w:val="00C37898"/>
    <w:rsid w:val="00C73457"/>
    <w:rsid w:val="00C75787"/>
    <w:rsid w:val="00CA165F"/>
    <w:rsid w:val="00CE39C7"/>
    <w:rsid w:val="00CF2B90"/>
    <w:rsid w:val="00D151B0"/>
    <w:rsid w:val="00D22E25"/>
    <w:rsid w:val="00D30B8B"/>
    <w:rsid w:val="00D37ACC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0399"/>
    <w:rsid w:val="00DD14E3"/>
    <w:rsid w:val="00DE7968"/>
    <w:rsid w:val="00DF304B"/>
    <w:rsid w:val="00E04C05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1F09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5443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64</cp:revision>
  <dcterms:created xsi:type="dcterms:W3CDTF">2019-05-31T07:54:00Z</dcterms:created>
  <dcterms:modified xsi:type="dcterms:W3CDTF">2019-08-07T07:38:00Z</dcterms:modified>
</cp:coreProperties>
</file>