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2090872" w14:textId="77777777" w:rsidR="00A77B3E" w:rsidRDefault="005C29BD">
      <w:pPr>
        <w:ind w:left="5669"/>
        <w:jc w:val="left"/>
        <w:rPr>
          <w:b/>
          <w:i/>
          <w:sz w:val="20"/>
          <w:u w:val="thick"/>
        </w:rPr>
      </w:pPr>
      <w:r>
        <w:rPr>
          <w:b/>
          <w:i/>
          <w:sz w:val="20"/>
          <w:u w:val="thick"/>
        </w:rPr>
        <w:t>Projekt</w:t>
      </w:r>
    </w:p>
    <w:p w14:paraId="0F95D888" w14:textId="77777777" w:rsidR="00A77B3E" w:rsidRDefault="00A77B3E">
      <w:pPr>
        <w:ind w:left="5669"/>
        <w:jc w:val="left"/>
        <w:rPr>
          <w:b/>
          <w:i/>
          <w:sz w:val="20"/>
          <w:u w:val="thick"/>
        </w:rPr>
      </w:pPr>
    </w:p>
    <w:p w14:paraId="02A08817" w14:textId="77777777" w:rsidR="00A77B3E" w:rsidRDefault="005C29BD">
      <w:pPr>
        <w:ind w:left="5669"/>
        <w:jc w:val="left"/>
        <w:rPr>
          <w:sz w:val="20"/>
        </w:rPr>
      </w:pPr>
      <w:r>
        <w:rPr>
          <w:sz w:val="20"/>
        </w:rPr>
        <w:t>z dnia  30 września 2026 r.</w:t>
      </w:r>
    </w:p>
    <w:p w14:paraId="62E98B51" w14:textId="77777777" w:rsidR="00A77B3E" w:rsidRDefault="00A77B3E">
      <w:pPr>
        <w:ind w:left="5669"/>
        <w:jc w:val="left"/>
        <w:rPr>
          <w:sz w:val="20"/>
        </w:rPr>
      </w:pPr>
    </w:p>
    <w:p w14:paraId="3492960B" w14:textId="77777777" w:rsidR="00A77B3E" w:rsidRDefault="00A77B3E">
      <w:pPr>
        <w:ind w:left="5669"/>
        <w:jc w:val="left"/>
        <w:rPr>
          <w:sz w:val="20"/>
        </w:rPr>
      </w:pPr>
    </w:p>
    <w:p w14:paraId="7692E1E2" w14:textId="77777777" w:rsidR="00A77B3E" w:rsidRDefault="005C29BD">
      <w:pPr>
        <w:jc w:val="center"/>
        <w:rPr>
          <w:b/>
          <w:caps/>
        </w:rPr>
      </w:pPr>
      <w:r>
        <w:rPr>
          <w:b/>
          <w:caps/>
        </w:rPr>
        <w:t>Zarządzenie nr ....................</w:t>
      </w:r>
      <w:r>
        <w:rPr>
          <w:b/>
          <w:caps/>
        </w:rPr>
        <w:br/>
        <w:t>Prezesa Narodowego Funduszu Zdrowia</w:t>
      </w:r>
    </w:p>
    <w:p w14:paraId="7BF09CA6" w14:textId="77777777" w:rsidR="00A77B3E" w:rsidRDefault="005C29BD">
      <w:pPr>
        <w:spacing w:before="280" w:after="280"/>
        <w:jc w:val="center"/>
        <w:rPr>
          <w:b/>
          <w:caps/>
        </w:rPr>
      </w:pPr>
      <w:r>
        <w:t>z dnia 29 września 2026 r.</w:t>
      </w:r>
    </w:p>
    <w:p w14:paraId="58B68EC1" w14:textId="77777777" w:rsidR="00A77B3E" w:rsidRDefault="005C29BD">
      <w:pPr>
        <w:keepNext/>
        <w:spacing w:after="480"/>
        <w:jc w:val="center"/>
      </w:pPr>
      <w:r>
        <w:rPr>
          <w:b/>
        </w:rPr>
        <w:t xml:space="preserve">zmieniające zarządzenie w sprawie ustalenia jednolitego pliku </w:t>
      </w:r>
      <w:r>
        <w:rPr>
          <w:b/>
        </w:rPr>
        <w:t>sprawozdawczego w postaci szczegółowych komunikatów sprawozdawczych XML</w:t>
      </w:r>
    </w:p>
    <w:p w14:paraId="6E8F6517" w14:textId="77777777" w:rsidR="00A77B3E" w:rsidRDefault="005C29BD">
      <w:pPr>
        <w:keepLines/>
        <w:spacing w:before="120" w:after="120"/>
        <w:ind w:firstLine="227"/>
      </w:pPr>
      <w:r>
        <w:t>Na podstawie art. 102 ust. 5 pkt 21 i 25 ustawy z dnia 27 sierpnia 2004 r. o świadczeniach opieki zdrowotnej finansowanych ze środków publicznych (Dz. U. z 2025 r. poz. 1461, 1537 i 17</w:t>
      </w:r>
      <w:r>
        <w:t>39 oraz z 2026 r. poz. 26, 203 i 791) zarządza się, co następuje:</w:t>
      </w:r>
    </w:p>
    <w:p w14:paraId="0E26218A" w14:textId="77777777" w:rsidR="00A77B3E" w:rsidRDefault="005C29BD">
      <w:pPr>
        <w:keepLines/>
        <w:spacing w:before="120" w:after="120"/>
        <w:ind w:firstLine="340"/>
      </w:pPr>
      <w:r>
        <w:rPr>
          <w:b/>
        </w:rPr>
        <w:t>§ 1. </w:t>
      </w:r>
      <w:r>
        <w:t>W zarządzeniu nr 128/2021/DI Prezesa Narodowego Funduszu Zdrowia z dnia 7 lipca 2021 r. w sprawie ustalenia jednolitego pliku sprawozdawczego w postaci szczegółowych komunikatów sprawoz</w:t>
      </w:r>
      <w:r>
        <w:t>dawczych XML , wprowadza się następujące zmiany:</w:t>
      </w:r>
    </w:p>
    <w:p w14:paraId="67E15A1C" w14:textId="77777777" w:rsidR="00A77B3E" w:rsidRDefault="005C29BD">
      <w:pPr>
        <w:spacing w:before="120" w:after="120"/>
        <w:ind w:left="340" w:hanging="227"/>
        <w:rPr>
          <w:color w:val="000000"/>
          <w:u w:color="000000"/>
        </w:rPr>
      </w:pPr>
      <w:r>
        <w:t>1) </w:t>
      </w:r>
      <w:r>
        <w:t xml:space="preserve">Załącznik nr 1 otrzymuje brzmienie, jak w załączniku nr 1 do niniejszego zarządzenia. </w:t>
      </w:r>
    </w:p>
    <w:p w14:paraId="4B4AE01A" w14:textId="77777777" w:rsidR="00A77B3E" w:rsidRDefault="005C29BD">
      <w:pPr>
        <w:keepLines/>
        <w:spacing w:before="120" w:after="120"/>
        <w:ind w:firstLine="340"/>
        <w:rPr>
          <w:color w:val="000000"/>
          <w:u w:color="000000"/>
        </w:rPr>
      </w:pPr>
      <w:r>
        <w:rPr>
          <w:b/>
        </w:rPr>
        <w:t>§ 2. </w:t>
      </w:r>
      <w:r>
        <w:rPr>
          <w:color w:val="000000"/>
          <w:u w:color="000000"/>
        </w:rPr>
        <w:t>Zarządzenie wchodzi w życie 1 stycznia 2027 r.</w:t>
      </w:r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4933"/>
        <w:gridCol w:w="4933"/>
      </w:tblGrid>
      <w:tr w:rsidR="006C42F2" w14:paraId="74B3E578" w14:textId="77777777"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12842FEC" w14:textId="77777777" w:rsidR="00A77B3E" w:rsidRDefault="00A77B3E">
            <w:pPr>
              <w:rPr>
                <w:color w:val="000000"/>
                <w:u w:color="000000"/>
              </w:rPr>
            </w:pPr>
          </w:p>
        </w:tc>
        <w:tc>
          <w:tcPr>
            <w:tcW w:w="5040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</w:tcMar>
          </w:tcPr>
          <w:p w14:paraId="742F287A" w14:textId="77777777" w:rsidR="00A77B3E" w:rsidRDefault="00A77B3E">
            <w:pPr>
              <w:jc w:val="center"/>
              <w:rPr>
                <w:color w:val="000000"/>
                <w:u w:color="000000"/>
              </w:rPr>
            </w:pPr>
          </w:p>
          <w:p w14:paraId="0063189D" w14:textId="6BD73F95" w:rsidR="006C42F2" w:rsidRDefault="006C42F2">
            <w:pPr>
              <w:jc w:val="center"/>
            </w:pPr>
          </w:p>
        </w:tc>
      </w:tr>
    </w:tbl>
    <w:p w14:paraId="347733C4" w14:textId="77777777" w:rsidR="00A77B3E" w:rsidRDefault="00A77B3E">
      <w:pPr>
        <w:rPr>
          <w:color w:val="000000"/>
          <w:u w:color="000000"/>
        </w:rPr>
        <w:sectPr w:rsidR="00A77B3E">
          <w:footerReference w:type="default" r:id="rId6"/>
          <w:endnotePr>
            <w:numFmt w:val="decimal"/>
          </w:endnotePr>
          <w:pgSz w:w="11906" w:h="16838"/>
          <w:pgMar w:top="1417" w:right="1020" w:bottom="992" w:left="1020" w:header="708" w:footer="708" w:gutter="0"/>
          <w:cols w:space="708"/>
          <w:docGrid w:linePitch="360"/>
        </w:sectPr>
      </w:pPr>
    </w:p>
    <w:p w14:paraId="5B2D0973" w14:textId="77777777" w:rsidR="006C42F2" w:rsidRDefault="006C42F2">
      <w:pPr>
        <w:rPr>
          <w:szCs w:val="20"/>
        </w:rPr>
      </w:pPr>
    </w:p>
    <w:p w14:paraId="69D05991" w14:textId="77777777" w:rsidR="006C42F2" w:rsidRDefault="005C29BD">
      <w:pPr>
        <w:jc w:val="center"/>
        <w:rPr>
          <w:szCs w:val="20"/>
        </w:rPr>
      </w:pPr>
      <w:r>
        <w:rPr>
          <w:b/>
          <w:szCs w:val="20"/>
        </w:rPr>
        <w:t>Uzasadnienie</w:t>
      </w:r>
    </w:p>
    <w:p w14:paraId="7908F2E1" w14:textId="77777777" w:rsidR="006C42F2" w:rsidRDefault="005C29BD">
      <w:pPr>
        <w:spacing w:before="120" w:after="120"/>
        <w:ind w:firstLine="227"/>
        <w:jc w:val="left"/>
        <w:rPr>
          <w:szCs w:val="20"/>
        </w:rPr>
      </w:pPr>
      <w:r>
        <w:rPr>
          <w:szCs w:val="20"/>
        </w:rPr>
        <w:t xml:space="preserve">Zmiany wprowadzane do zarządzenia Nr 128/2021/DI Prezesa Narodowego </w:t>
      </w:r>
      <w:r>
        <w:rPr>
          <w:szCs w:val="20"/>
        </w:rPr>
        <w:t>Funduszu Zdrowia z dnia 1 lipca 2021 r. w sprawie ustalenia jednolitego pliku sprawozdawczego w postaci szczegółowych komunikatów sprawozdawczych XML (z późn.zm) mają na celu uporządkowanie i rozszerzenie zakresu danych przekazywanych w ramach sprawozdawan</w:t>
      </w:r>
      <w:r>
        <w:rPr>
          <w:szCs w:val="20"/>
        </w:rPr>
        <w:t>ia informacji o zrealizowanych świadczeniach opieki zdrowotnej.</w:t>
      </w:r>
    </w:p>
    <w:p w14:paraId="675A8E75" w14:textId="77777777" w:rsidR="006C42F2" w:rsidRDefault="005C29BD">
      <w:pPr>
        <w:spacing w:before="120" w:after="120"/>
        <w:ind w:firstLine="227"/>
        <w:jc w:val="left"/>
        <w:rPr>
          <w:szCs w:val="20"/>
        </w:rPr>
      </w:pPr>
      <w:r>
        <w:rPr>
          <w:szCs w:val="20"/>
        </w:rPr>
        <w:t>Modyfikacje dotyczą załącznika nr 1 do zarządzenia określającego Komunikat szczegółowy NFZ świadczeń ambulatoryjnych i szpitalnych (I fazy), w którym:</w:t>
      </w:r>
    </w:p>
    <w:p w14:paraId="18180DED" w14:textId="77777777" w:rsidR="006C42F2" w:rsidRDefault="005C29BD">
      <w:pPr>
        <w:spacing w:before="120" w:after="120"/>
        <w:ind w:firstLine="227"/>
        <w:jc w:val="left"/>
        <w:rPr>
          <w:szCs w:val="20"/>
        </w:rPr>
      </w:pPr>
      <w:r>
        <w:rPr>
          <w:szCs w:val="20"/>
        </w:rPr>
        <w:t>- podniesiono wersję komunikatu XML SWIAD</w:t>
      </w:r>
      <w:r>
        <w:rPr>
          <w:szCs w:val="20"/>
        </w:rPr>
        <w:t xml:space="preserve"> do wersji 14.1;</w:t>
      </w:r>
    </w:p>
    <w:p w14:paraId="6DDAF464" w14:textId="77777777" w:rsidR="006C42F2" w:rsidRDefault="005C29BD">
      <w:pPr>
        <w:spacing w:before="120" w:after="120"/>
        <w:ind w:firstLine="227"/>
        <w:jc w:val="left"/>
        <w:rPr>
          <w:szCs w:val="20"/>
        </w:rPr>
      </w:pPr>
      <w:r>
        <w:rPr>
          <w:szCs w:val="20"/>
        </w:rPr>
        <w:t>- usunięto atrybut kod-klasyfikacji z elementu przyczyna i dodano nowy element przyczyna-klasyfikacja-</w:t>
      </w:r>
      <w:proofErr w:type="spellStart"/>
      <w:r>
        <w:rPr>
          <w:szCs w:val="20"/>
        </w:rPr>
        <w:t>uzupel</w:t>
      </w:r>
      <w:proofErr w:type="spellEnd"/>
      <w:r>
        <w:rPr>
          <w:szCs w:val="20"/>
        </w:rPr>
        <w:t xml:space="preserve"> z atrybutami klasyfikacja oraz kod do sprawozdawania klasyfikacji uzupełniającej przyczyny głównej;</w:t>
      </w:r>
    </w:p>
    <w:p w14:paraId="03DEA27C" w14:textId="77777777" w:rsidR="006C42F2" w:rsidRDefault="005C29BD">
      <w:pPr>
        <w:spacing w:before="120" w:after="120"/>
        <w:ind w:firstLine="227"/>
        <w:jc w:val="left"/>
        <w:rPr>
          <w:szCs w:val="20"/>
        </w:rPr>
      </w:pPr>
      <w:r>
        <w:rPr>
          <w:szCs w:val="20"/>
        </w:rPr>
        <w:t>- dodano nowy element przyczyn</w:t>
      </w:r>
      <w:r>
        <w:rPr>
          <w:szCs w:val="20"/>
        </w:rPr>
        <w:t>a-</w:t>
      </w:r>
      <w:proofErr w:type="spellStart"/>
      <w:r>
        <w:rPr>
          <w:szCs w:val="20"/>
        </w:rPr>
        <w:t>wsp</w:t>
      </w:r>
      <w:proofErr w:type="spellEnd"/>
      <w:r>
        <w:rPr>
          <w:szCs w:val="20"/>
        </w:rPr>
        <w:t>-klasyfikacja-</w:t>
      </w:r>
      <w:proofErr w:type="spellStart"/>
      <w:r>
        <w:rPr>
          <w:szCs w:val="20"/>
        </w:rPr>
        <w:t>uzupel</w:t>
      </w:r>
      <w:proofErr w:type="spellEnd"/>
      <w:r>
        <w:rPr>
          <w:szCs w:val="20"/>
        </w:rPr>
        <w:t xml:space="preserve"> z atrybutami klasyfikacja oraz kod w ramach elementu przyczyny-</w:t>
      </w:r>
      <w:proofErr w:type="spellStart"/>
      <w:r>
        <w:rPr>
          <w:szCs w:val="20"/>
        </w:rPr>
        <w:t>wsp</w:t>
      </w:r>
      <w:proofErr w:type="spellEnd"/>
      <w:r>
        <w:rPr>
          <w:szCs w:val="20"/>
        </w:rPr>
        <w:t xml:space="preserve"> do sprawozdawania klasyfikacji uzupełniającej dla przyczyn współistniejących;</w:t>
      </w:r>
    </w:p>
    <w:p w14:paraId="0F0C0FCB" w14:textId="77777777" w:rsidR="006C42F2" w:rsidRDefault="005C29BD">
      <w:pPr>
        <w:spacing w:before="120" w:after="120"/>
        <w:ind w:firstLine="227"/>
        <w:jc w:val="left"/>
        <w:rPr>
          <w:szCs w:val="20"/>
        </w:rPr>
      </w:pPr>
      <w:r>
        <w:rPr>
          <w:szCs w:val="20"/>
        </w:rPr>
        <w:t xml:space="preserve">- doprecyzowano wyjaśnienia w elemencie </w:t>
      </w:r>
      <w:proofErr w:type="spellStart"/>
      <w:r>
        <w:rPr>
          <w:szCs w:val="20"/>
        </w:rPr>
        <w:t>nfz:diagnoza</w:t>
      </w:r>
      <w:proofErr w:type="spellEnd"/>
      <w:r>
        <w:rPr>
          <w:szCs w:val="20"/>
        </w:rPr>
        <w:t xml:space="preserve"> oraz w zakresie świadczeń dla ze</w:t>
      </w:r>
      <w:r>
        <w:rPr>
          <w:szCs w:val="20"/>
        </w:rPr>
        <w:t>społów środowiskowej opieki psychologicznej i psychoterapeutycznej dla dzieci i młodzieży;</w:t>
      </w:r>
    </w:p>
    <w:p w14:paraId="5CC6A0AE" w14:textId="77777777" w:rsidR="006C42F2" w:rsidRDefault="005C29BD">
      <w:pPr>
        <w:spacing w:before="120" w:after="120"/>
        <w:ind w:firstLine="227"/>
        <w:jc w:val="left"/>
        <w:rPr>
          <w:szCs w:val="20"/>
        </w:rPr>
      </w:pPr>
      <w:r>
        <w:rPr>
          <w:szCs w:val="20"/>
        </w:rPr>
        <w:t>- dodano nowy element obserwacja (z atrybutami id-obserwacji oraz moment) wraz z pod-elementami wynik (z atrybutem kod-</w:t>
      </w:r>
      <w:proofErr w:type="spellStart"/>
      <w:r>
        <w:rPr>
          <w:szCs w:val="20"/>
        </w:rPr>
        <w:t>obserw</w:t>
      </w:r>
      <w:proofErr w:type="spellEnd"/>
      <w:r>
        <w:rPr>
          <w:szCs w:val="20"/>
        </w:rPr>
        <w:t xml:space="preserve">), wynik-liczbowy (z atrybutem liczba), </w:t>
      </w:r>
      <w:proofErr w:type="spellStart"/>
      <w:r>
        <w:rPr>
          <w:szCs w:val="20"/>
        </w:rPr>
        <w:t>wartosc-boolean</w:t>
      </w:r>
      <w:proofErr w:type="spellEnd"/>
      <w:r>
        <w:rPr>
          <w:szCs w:val="20"/>
        </w:rPr>
        <w:t xml:space="preserve"> (z atrybutem prawda-</w:t>
      </w:r>
      <w:proofErr w:type="spellStart"/>
      <w:r>
        <w:rPr>
          <w:szCs w:val="20"/>
        </w:rPr>
        <w:t>falsz</w:t>
      </w:r>
      <w:proofErr w:type="spellEnd"/>
      <w:r>
        <w:rPr>
          <w:szCs w:val="20"/>
        </w:rPr>
        <w:t xml:space="preserve">) oraz </w:t>
      </w:r>
      <w:proofErr w:type="spellStart"/>
      <w:r>
        <w:rPr>
          <w:szCs w:val="20"/>
        </w:rPr>
        <w:t>wartosc</w:t>
      </w:r>
      <w:proofErr w:type="spellEnd"/>
      <w:r>
        <w:rPr>
          <w:szCs w:val="20"/>
        </w:rPr>
        <w:t>-kodowana (z atrybutami wersja-</w:t>
      </w:r>
      <w:proofErr w:type="spellStart"/>
      <w:r>
        <w:rPr>
          <w:szCs w:val="20"/>
        </w:rPr>
        <w:t>slownika</w:t>
      </w:r>
      <w:proofErr w:type="spellEnd"/>
      <w:r>
        <w:rPr>
          <w:szCs w:val="20"/>
        </w:rPr>
        <w:t xml:space="preserve"> i kod-</w:t>
      </w:r>
      <w:proofErr w:type="spellStart"/>
      <w:r>
        <w:rPr>
          <w:szCs w:val="20"/>
        </w:rPr>
        <w:t>poz</w:t>
      </w:r>
      <w:proofErr w:type="spellEnd"/>
      <w:r>
        <w:rPr>
          <w:szCs w:val="20"/>
        </w:rPr>
        <w:t>-</w:t>
      </w:r>
      <w:proofErr w:type="spellStart"/>
      <w:r>
        <w:rPr>
          <w:szCs w:val="20"/>
        </w:rPr>
        <w:t>slow</w:t>
      </w:r>
      <w:proofErr w:type="spellEnd"/>
      <w:r>
        <w:rPr>
          <w:szCs w:val="20"/>
        </w:rPr>
        <w:t>) do rejestrowania danych o stanie zdrowia i wyników pacjenta;</w:t>
      </w:r>
    </w:p>
    <w:p w14:paraId="4B0F2D6B" w14:textId="77777777" w:rsidR="006C42F2" w:rsidRDefault="005C29BD">
      <w:pPr>
        <w:spacing w:before="120" w:after="120"/>
        <w:ind w:firstLine="227"/>
        <w:jc w:val="left"/>
        <w:rPr>
          <w:szCs w:val="20"/>
        </w:rPr>
      </w:pPr>
      <w:r>
        <w:rPr>
          <w:szCs w:val="20"/>
        </w:rPr>
        <w:t>- doprecyzowano wyjaśnienia w atrybucie data-wyk elementu procedura, wprowadzając od</w:t>
      </w:r>
      <w:r>
        <w:rPr>
          <w:szCs w:val="20"/>
        </w:rPr>
        <w:t xml:space="preserve"> 1 lipca 2026 r. obowiązek jego przekazywania dla produktów z katalogu 21 oraz badań diagnostycznych u podwykonawców;</w:t>
      </w:r>
    </w:p>
    <w:p w14:paraId="204E4587" w14:textId="77777777" w:rsidR="006C42F2" w:rsidRDefault="005C29BD">
      <w:pPr>
        <w:spacing w:before="120" w:after="120"/>
        <w:ind w:firstLine="227"/>
        <w:jc w:val="left"/>
        <w:rPr>
          <w:szCs w:val="20"/>
        </w:rPr>
      </w:pPr>
      <w:r>
        <w:rPr>
          <w:szCs w:val="20"/>
        </w:rPr>
        <w:t xml:space="preserve">- doprecyzowano zapisy w atrybucie </w:t>
      </w:r>
      <w:proofErr w:type="spellStart"/>
      <w:r>
        <w:rPr>
          <w:szCs w:val="20"/>
        </w:rPr>
        <w:t>nfz:id-kom-org</w:t>
      </w:r>
      <w:proofErr w:type="spellEnd"/>
      <w:r>
        <w:rPr>
          <w:szCs w:val="20"/>
        </w:rPr>
        <w:t xml:space="preserve"> dla elementu procedura  wskazując ich stosowanie dla procedur wykonanych przed 1 styczni</w:t>
      </w:r>
      <w:r>
        <w:rPr>
          <w:szCs w:val="20"/>
        </w:rPr>
        <w:t>a 2027 r.;</w:t>
      </w:r>
    </w:p>
    <w:p w14:paraId="75CE15D8" w14:textId="77777777" w:rsidR="006C42F2" w:rsidRDefault="005C29BD">
      <w:pPr>
        <w:spacing w:before="120" w:after="120"/>
        <w:ind w:firstLine="227"/>
        <w:jc w:val="left"/>
        <w:rPr>
          <w:szCs w:val="20"/>
        </w:rPr>
      </w:pPr>
      <w:r>
        <w:rPr>
          <w:szCs w:val="20"/>
        </w:rPr>
        <w:t>- dodano nowy element miejsce-wyk-proc-</w:t>
      </w:r>
      <w:proofErr w:type="spellStart"/>
      <w:r>
        <w:rPr>
          <w:szCs w:val="20"/>
        </w:rPr>
        <w:t>rpwdl</w:t>
      </w:r>
      <w:proofErr w:type="spellEnd"/>
      <w:r>
        <w:rPr>
          <w:szCs w:val="20"/>
        </w:rPr>
        <w:t xml:space="preserve"> do sprawozdawania miejsca wykonania procedury wg RPWDL (dla procedur wykonanych od 1 stycznia 2027 r.);</w:t>
      </w:r>
    </w:p>
    <w:p w14:paraId="7E28FC72" w14:textId="77777777" w:rsidR="006C42F2" w:rsidRDefault="005C29BD">
      <w:pPr>
        <w:spacing w:before="120" w:after="120"/>
        <w:ind w:firstLine="227"/>
        <w:jc w:val="left"/>
        <w:rPr>
          <w:szCs w:val="20"/>
        </w:rPr>
      </w:pPr>
      <w:r>
        <w:rPr>
          <w:szCs w:val="20"/>
        </w:rPr>
        <w:t>- dodano elementy kom-org (z atrybutem nr-</w:t>
      </w:r>
      <w:proofErr w:type="spellStart"/>
      <w:r>
        <w:rPr>
          <w:szCs w:val="20"/>
        </w:rPr>
        <w:t>ks</w:t>
      </w:r>
      <w:proofErr w:type="spellEnd"/>
      <w:r>
        <w:rPr>
          <w:szCs w:val="20"/>
        </w:rPr>
        <w:t xml:space="preserve">-rej) oraz </w:t>
      </w:r>
      <w:proofErr w:type="spellStart"/>
      <w:r>
        <w:rPr>
          <w:szCs w:val="20"/>
        </w:rPr>
        <w:t>jedn</w:t>
      </w:r>
      <w:proofErr w:type="spellEnd"/>
      <w:r>
        <w:rPr>
          <w:szCs w:val="20"/>
        </w:rPr>
        <w:t>-org (z atrybutami kod-kom, nr-</w:t>
      </w:r>
      <w:proofErr w:type="spellStart"/>
      <w:r>
        <w:rPr>
          <w:szCs w:val="20"/>
        </w:rPr>
        <w:t>ks</w:t>
      </w:r>
      <w:proofErr w:type="spellEnd"/>
      <w:r>
        <w:rPr>
          <w:szCs w:val="20"/>
        </w:rPr>
        <w:t>-rej</w:t>
      </w:r>
      <w:r>
        <w:rPr>
          <w:szCs w:val="20"/>
        </w:rPr>
        <w:t>, kod-</w:t>
      </w:r>
      <w:proofErr w:type="spellStart"/>
      <w:r>
        <w:rPr>
          <w:szCs w:val="20"/>
        </w:rPr>
        <w:t>jedn</w:t>
      </w:r>
      <w:proofErr w:type="spellEnd"/>
      <w:r>
        <w:rPr>
          <w:szCs w:val="20"/>
        </w:rPr>
        <w:t>), mus (z atrybutami nr-</w:t>
      </w:r>
      <w:proofErr w:type="spellStart"/>
      <w:r>
        <w:rPr>
          <w:szCs w:val="20"/>
        </w:rPr>
        <w:t>ks</w:t>
      </w:r>
      <w:proofErr w:type="spellEnd"/>
      <w:r>
        <w:rPr>
          <w:szCs w:val="20"/>
        </w:rPr>
        <w:t>-rej, kod-mus) do sprawozdawania danych identyfikujących jednostkę organizacyjną podmiotu leczniczego, miejsce praktyki zawodowej oraz komórkę organizacyjną.</w:t>
      </w:r>
    </w:p>
    <w:p w14:paraId="0569A0B9" w14:textId="77777777" w:rsidR="006C42F2" w:rsidRDefault="005C29BD">
      <w:pPr>
        <w:spacing w:before="120" w:after="120"/>
        <w:ind w:firstLine="227"/>
        <w:jc w:val="left"/>
        <w:rPr>
          <w:szCs w:val="20"/>
        </w:rPr>
      </w:pPr>
      <w:r>
        <w:rPr>
          <w:szCs w:val="20"/>
        </w:rPr>
        <w:t>Potrzeba wprowadzenia zmian w </w:t>
      </w:r>
      <w:proofErr w:type="spellStart"/>
      <w:r>
        <w:rPr>
          <w:szCs w:val="20"/>
        </w:rPr>
        <w:t>sprawozawczości</w:t>
      </w:r>
      <w:proofErr w:type="spellEnd"/>
      <w:r>
        <w:rPr>
          <w:szCs w:val="20"/>
        </w:rPr>
        <w:t xml:space="preserve"> wynika z oczekiw</w:t>
      </w:r>
      <w:r>
        <w:rPr>
          <w:szCs w:val="20"/>
        </w:rPr>
        <w:t xml:space="preserve">ań ekspertów klinicznych uczestniczących w pracach nad modyfikacjami w systemie JGP, którzy wskazują na konieczność uwzględniania dodatkowych informacji pozwalających na bardziej precyzyjne określenie stanu pacjenta, w tym wyników </w:t>
      </w:r>
      <w:proofErr w:type="spellStart"/>
      <w:r>
        <w:rPr>
          <w:szCs w:val="20"/>
        </w:rPr>
        <w:t>skal</w:t>
      </w:r>
      <w:proofErr w:type="spellEnd"/>
      <w:r>
        <w:rPr>
          <w:szCs w:val="20"/>
        </w:rPr>
        <w:t xml:space="preserve"> i klasyfikacji klini</w:t>
      </w:r>
      <w:r>
        <w:rPr>
          <w:szCs w:val="20"/>
        </w:rPr>
        <w:t xml:space="preserve">cznych. Przykładem są rozwiązania już wdrożone w grupach JGP w sekcji D Choroby układu oddechowego, w których wykorzystana jest m.in. skala </w:t>
      </w:r>
      <w:proofErr w:type="spellStart"/>
      <w:r>
        <w:rPr>
          <w:szCs w:val="20"/>
        </w:rPr>
        <w:t>mMRC</w:t>
      </w:r>
      <w:proofErr w:type="spellEnd"/>
      <w:r>
        <w:rPr>
          <w:szCs w:val="20"/>
        </w:rPr>
        <w:t xml:space="preserve"> oraz skala sprawności ECOG. Potrzeba uwzględniania podobnych parametrów klinicznych pojawia się również w praca</w:t>
      </w:r>
      <w:r>
        <w:rPr>
          <w:szCs w:val="20"/>
        </w:rPr>
        <w:t xml:space="preserve">ch nad nowymi rozwiązaniami w innych sekcjach JGP. Zmiany w formacie XML SWIAD pozwolą na jednoznaczne raportowanie tych informacji i ich powiązanie z realizowanymi świadczeniami. Dane te będą mogły być wykorzystywane do analizy i monitorowania realizacji </w:t>
      </w:r>
      <w:r>
        <w:rPr>
          <w:szCs w:val="20"/>
        </w:rPr>
        <w:t>świadczeń oraz oceny poprawności ich sprawozdawania.</w:t>
      </w:r>
    </w:p>
    <w:sectPr w:rsidR="006C42F2">
      <w:footerReference w:type="default" r:id="rId7"/>
      <w:endnotePr>
        <w:numFmt w:val="decimal"/>
      </w:endnotePr>
      <w:pgSz w:w="11906" w:h="16838"/>
      <w:pgMar w:top="1417" w:right="1020" w:bottom="992" w:left="1020" w:header="708" w:footer="708" w:gutter="0"/>
      <w:cols w:space="70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0C1050C6" w14:textId="77777777" w:rsidR="00000000" w:rsidRDefault="005C29BD">
      <w:r>
        <w:separator/>
      </w:r>
    </w:p>
  </w:endnote>
  <w:endnote w:type="continuationSeparator" w:id="0">
    <w:p w14:paraId="77D2D671" w14:textId="77777777" w:rsidR="00000000" w:rsidRDefault="005C29BD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6C42F2" w14:paraId="25537242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4B015EEB" w14:textId="77777777" w:rsidR="006C42F2" w:rsidRDefault="005C29BD">
          <w:pPr>
            <w:jc w:val="left"/>
            <w:rPr>
              <w:sz w:val="18"/>
            </w:rPr>
          </w:pPr>
          <w:r>
            <w:rPr>
              <w:sz w:val="18"/>
            </w:rPr>
            <w:t>Id: DF45B5BF-33A8-4664-83EA-3A0FD00EEBD8. Projekt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0EA32F1F" w14:textId="77777777" w:rsidR="006C42F2" w:rsidRDefault="005C29BD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1</w:t>
          </w:r>
          <w:r>
            <w:rPr>
              <w:sz w:val="18"/>
            </w:rPr>
            <w:fldChar w:fldCharType="end"/>
          </w:r>
        </w:p>
      </w:tc>
    </w:tr>
  </w:tbl>
  <w:p w14:paraId="0D531816" w14:textId="77777777" w:rsidR="006C42F2" w:rsidRDefault="006C42F2">
    <w:pPr>
      <w:rPr>
        <w:sz w:val="18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tbl>
    <w:tblPr>
      <w:tblW w:w="5000" w:type="pct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Look w:val="04A0" w:firstRow="1" w:lastRow="0" w:firstColumn="1" w:lastColumn="0" w:noHBand="0" w:noVBand="1"/>
    </w:tblPr>
    <w:tblGrid>
      <w:gridCol w:w="6577"/>
      <w:gridCol w:w="3289"/>
    </w:tblGrid>
    <w:tr w:rsidR="006C42F2" w14:paraId="63326F1D" w14:textId="77777777">
      <w:tc>
        <w:tcPr>
          <w:tcW w:w="6577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57F68C16" w14:textId="77777777" w:rsidR="006C42F2" w:rsidRDefault="005C29BD">
          <w:pPr>
            <w:jc w:val="left"/>
            <w:rPr>
              <w:sz w:val="18"/>
            </w:rPr>
          </w:pPr>
          <w:r>
            <w:rPr>
              <w:sz w:val="18"/>
            </w:rPr>
            <w:t>Id: DF45B5BF-33A8-4664-83EA-3A0FD00EEBD8. Projekt</w:t>
          </w:r>
        </w:p>
      </w:tc>
      <w:tc>
        <w:tcPr>
          <w:tcW w:w="3289" w:type="dxa"/>
          <w:tcBorders>
            <w:top w:val="single" w:sz="2" w:space="0" w:color="auto"/>
            <w:left w:val="nil"/>
            <w:bottom w:val="nil"/>
            <w:right w:val="nil"/>
          </w:tcBorders>
          <w:tcMar>
            <w:top w:w="100" w:type="dxa"/>
          </w:tcMar>
        </w:tcPr>
        <w:p w14:paraId="28691AB6" w14:textId="73DE49CE" w:rsidR="006C42F2" w:rsidRDefault="005C29BD">
          <w:pPr>
            <w:jc w:val="right"/>
            <w:rPr>
              <w:sz w:val="18"/>
            </w:rPr>
          </w:pPr>
          <w:r>
            <w:rPr>
              <w:sz w:val="18"/>
            </w:rPr>
            <w:t xml:space="preserve">Strona </w:t>
          </w:r>
          <w:r>
            <w:rPr>
              <w:sz w:val="18"/>
            </w:rPr>
            <w:fldChar w:fldCharType="begin"/>
          </w:r>
          <w:r>
            <w:rPr>
              <w:sz w:val="18"/>
            </w:rPr>
            <w:instrText>PAGE</w:instrText>
          </w:r>
          <w:r>
            <w:rPr>
              <w:sz w:val="18"/>
            </w:rPr>
            <w:fldChar w:fldCharType="separate"/>
          </w:r>
          <w:r>
            <w:rPr>
              <w:noProof/>
              <w:sz w:val="18"/>
            </w:rPr>
            <w:t>2</w:t>
          </w:r>
          <w:r>
            <w:rPr>
              <w:sz w:val="18"/>
            </w:rPr>
            <w:fldChar w:fldCharType="end"/>
          </w:r>
        </w:p>
      </w:tc>
    </w:tr>
  </w:tbl>
  <w:p w14:paraId="20DD91D1" w14:textId="77777777" w:rsidR="006C42F2" w:rsidRDefault="006C42F2">
    <w:pPr>
      <w:rPr>
        <w:sz w:val="18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0477DB3" w14:textId="77777777" w:rsidR="00000000" w:rsidRDefault="005C29BD">
      <w:r>
        <w:separator/>
      </w:r>
    </w:p>
  </w:footnote>
  <w:footnote w:type="continuationSeparator" w:id="0">
    <w:p w14:paraId="5B6D7B24" w14:textId="77777777" w:rsidR="00000000" w:rsidRDefault="005C29BD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hyphenationZone w:val="425"/>
  <w:noPunctuationKerning/>
  <w:characterSpacingControl w:val="doNotCompress"/>
  <w:footnotePr>
    <w:footnote w:id="-1"/>
    <w:footnote w:id="0"/>
  </w:footnotePr>
  <w:endnotePr>
    <w:numFmt w:val="decimal"/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77B3E"/>
    <w:rsid w:val="005C29BD"/>
    <w:rsid w:val="006C42F2"/>
    <w:rsid w:val="00A77B3E"/>
    <w:rsid w:val="00CA2A5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E265932"/>
  <w15:docId w15:val="{A55FA9E8-9EF3-4DF9-8A92-AFE636660E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pl-PL" w:eastAsia="pl-PL" w:bidi="pl-PL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ny">
    <w:name w:val="Normal"/>
    <w:qFormat/>
    <w:pPr>
      <w:jc w:val="both"/>
    </w:pPr>
    <w:rPr>
      <w:sz w:val="22"/>
      <w:szCs w:val="24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styleId="Hipercze">
    <w:name w:val="Hyperlink"/>
    <w:basedOn w:val="Domylnaczcionkaakapitu"/>
    <w:rsid w:val="00EF7B96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587</Words>
  <Characters>3528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Prezes Narodowego Funduszu Zdrowia</Company>
  <LinksUpToDate>false</LinksUpToDate>
  <CharactersWithSpaces>4107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Zarządzenie z dnia 29 września 2026 r.</dc:title>
  <dc:subject>zmieniające zarządzenie w^sprawie ustalenia jednolitego pliku sprawozdawczego w^postaci szczegółowych komunikatów sprawozdawczych XML</dc:subject>
  <dc:creator>ewa.radomiak</dc:creator>
  <cp:lastModifiedBy>Radomiak Ewa</cp:lastModifiedBy>
  <cp:revision>2</cp:revision>
  <dcterms:created xsi:type="dcterms:W3CDTF">2026-09-30T11:33:00Z</dcterms:created>
  <dcterms:modified xsi:type="dcterms:W3CDTF">2026-09-30T11:33:00Z</dcterms:modified>
  <cp:category>Akt prawny</cp:category>
</cp:coreProperties>
</file>