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5018F0" w:rsidR="00B95B8B" w:rsidP="00B95B8B" w:rsidRDefault="00B95B8B">
      <w:pPr>
        <w:pStyle w:val="Normalny"/>
        <w:spacing w:after="240"/>
        <w:rPr>
          <w:rFonts w:ascii="Arial" w:hAnsi="Arial" w:cs="Arial"/>
          <w:b/>
          <w:color w:val="000080"/>
        </w:rPr>
      </w:pPr>
      <w:r w:rsidRPr="005018F0">
        <w:rPr>
          <w:rFonts w:ascii="Arial" w:hAnsi="Arial"/>
          <w:b/>
          <w:color w:val="000080"/>
        </w:rPr>
        <w:t>General rules</w:t>
      </w:r>
    </w:p>
    <w:p w:rsidRPr="005018F0" w:rsidR="00B95B8B" w:rsidP="00B95B8B" w:rsidRDefault="00B95B8B">
      <w:pPr>
        <w:pStyle w:val="Normalny"/>
        <w:spacing w:after="240"/>
        <w:rPr>
          <w:rFonts w:ascii="Arial" w:hAnsi="Arial" w:cs="Arial"/>
        </w:rPr>
      </w:pPr>
      <w:r w:rsidRPr="005018F0">
        <w:rPr>
          <w:rFonts w:ascii="Arial" w:hAnsi="Arial"/>
        </w:rPr>
        <w:t xml:space="preserve">The European Health Insurance Card (EHIC) provides access to medically necessary healthcare in Romania. The doctor attending to you will decide what type of care you need. The doctor will </w:t>
      </w:r>
      <w:proofErr w:type="gramStart"/>
      <w:r w:rsidRPr="005018F0">
        <w:rPr>
          <w:rFonts w:ascii="Arial" w:hAnsi="Arial"/>
        </w:rPr>
        <w:t>take into account</w:t>
      </w:r>
      <w:proofErr w:type="gramEnd"/>
      <w:r w:rsidRPr="005018F0">
        <w:rPr>
          <w:rFonts w:ascii="Arial" w:hAnsi="Arial"/>
        </w:rPr>
        <w:t xml:space="preserve"> your state of health and the planned duration of your stay in Romania. In the event of a health emergency, you are entitled to the same level of care under Romania’s public healthcare system as Romanian citizens. Such care is provided under the same conditions as for Romanian citizens.</w:t>
      </w:r>
    </w:p>
    <w:p w:rsidRPr="005018F0" w:rsidR="00B95B8B" w:rsidP="00B95B8B" w:rsidRDefault="00B95B8B">
      <w:pPr>
        <w:pStyle w:val="Normalny"/>
        <w:spacing w:after="240"/>
        <w:rPr>
          <w:rFonts w:ascii="Arial" w:hAnsi="Arial" w:cs="Arial"/>
          <w:b/>
          <w:color w:val="000080"/>
        </w:rPr>
      </w:pPr>
      <w:r w:rsidRPr="005018F0">
        <w:rPr>
          <w:rFonts w:ascii="Arial" w:hAnsi="Arial"/>
          <w:b/>
          <w:color w:val="000080"/>
        </w:rPr>
        <w:t>How to receive treatment</w:t>
      </w:r>
    </w:p>
    <w:p w:rsidRPr="005018F0" w:rsidR="00B95B8B" w:rsidP="00B95B8B" w:rsidRDefault="00B95B8B">
      <w:pPr>
        <w:pStyle w:val="Normalny"/>
        <w:spacing w:after="240"/>
        <w:rPr>
          <w:rFonts w:ascii="Arial" w:hAnsi="Arial" w:cs="Arial"/>
        </w:rPr>
      </w:pPr>
      <w:r w:rsidRPr="005018F0">
        <w:rPr>
          <w:rFonts w:ascii="Arial" w:hAnsi="Arial"/>
        </w:rPr>
        <w:t>If you need medical assistance, take your EHIC along with your identity card or passport and go to the nearest public health facility. This facility must have an agreement with the National health insurance office (Casa Naţională de Asigurări de Sănătate).</w:t>
      </w:r>
    </w:p>
    <w:p w:rsidRPr="005018F0" w:rsidR="00B95B8B" w:rsidP="006D554A" w:rsidRDefault="00B95B8B">
      <w:pPr>
        <w:pStyle w:val="Normalny"/>
        <w:spacing w:after="240"/>
        <w:rPr>
          <w:rFonts w:ascii="Arial" w:hAnsi="Arial" w:cs="Arial"/>
        </w:rPr>
      </w:pPr>
      <w:r w:rsidRPr="005018F0">
        <w:rPr>
          <w:rFonts w:ascii="Arial" w:hAnsi="Arial"/>
        </w:rPr>
        <w:t>A GP may give you a referral for specialist or hospital care. Keep any referrals provided, as you will need them for further treatment. In an emergency, you can go to hospital without a referral or call the emergency number: 112.</w:t>
      </w:r>
    </w:p>
    <w:p w:rsidRPr="005018F0" w:rsidR="00B95B8B" w:rsidP="00B95B8B" w:rsidRDefault="00B95B8B">
      <w:pPr>
        <w:pStyle w:val="Normalny"/>
        <w:spacing w:after="240"/>
        <w:rPr>
          <w:rFonts w:ascii="Arial" w:hAnsi="Arial" w:cs="Arial"/>
          <w:b/>
          <w:color w:val="002060"/>
        </w:rPr>
      </w:pPr>
      <w:r w:rsidRPr="005018F0">
        <w:rPr>
          <w:rFonts w:ascii="Arial" w:hAnsi="Arial"/>
          <w:b/>
          <w:color w:val="002060"/>
        </w:rPr>
        <w:t>What do I have to pay for?</w:t>
      </w:r>
    </w:p>
    <w:p w:rsidRPr="005018F0" w:rsidR="00151703" w:rsidP="006D554A" w:rsidRDefault="00B95B8B">
      <w:pPr>
        <w:pStyle w:val="Normalny"/>
        <w:spacing w:after="240"/>
        <w:rPr>
          <w:rFonts w:ascii="Arial" w:hAnsi="Arial" w:cs="Arial"/>
          <w:b/>
        </w:rPr>
      </w:pPr>
      <w:r w:rsidRPr="005018F0">
        <w:rPr>
          <w:rFonts w:ascii="Arial" w:hAnsi="Arial"/>
        </w:rPr>
        <w:t>In Romania, treatment is free of charge. However, you may still have to pay for certain services, although they are free in Poland. Therefore, such paid services will not be reimbursed by the National Health Fund (NFZ). Here are examples of paid services in Romania and their estimated costs:</w:t>
      </w:r>
    </w:p>
    <w:p w:rsidRPr="005018F0" w:rsidR="007D4B44" w:rsidP="006D554A" w:rsidRDefault="007D4B44">
      <w:pPr>
        <w:pStyle w:val="Normalny"/>
        <w:numPr>
          <w:ilvl w:val="0"/>
          <w:numId w:val="6"/>
        </w:numPr>
        <w:spacing w:after="240"/>
        <w:rPr>
          <w:rFonts w:ascii="Arial" w:hAnsi="Arial" w:cs="Arial"/>
        </w:rPr>
      </w:pPr>
      <w:r w:rsidRPr="005018F0">
        <w:rPr>
          <w:rFonts w:ascii="Arial" w:hAnsi="Arial"/>
          <w:b/>
        </w:rPr>
        <w:t>dental treatment</w:t>
      </w:r>
      <w:r w:rsidRPr="005018F0">
        <w:rPr>
          <w:rFonts w:ascii="Arial" w:hAnsi="Arial"/>
        </w:rPr>
        <w:t xml:space="preserve"> – the patient pays up to 40% of the cost of the services provided,</w:t>
      </w:r>
    </w:p>
    <w:p w:rsidRPr="005018F0" w:rsidR="008C5C1C" w:rsidP="006D554A" w:rsidRDefault="00B95B8B">
      <w:pPr>
        <w:pStyle w:val="Normalny"/>
        <w:numPr>
          <w:ilvl w:val="0"/>
          <w:numId w:val="6"/>
        </w:numPr>
        <w:spacing w:after="240"/>
        <w:rPr>
          <w:rFonts w:ascii="Arial" w:hAnsi="Arial" w:cs="Arial"/>
        </w:rPr>
      </w:pPr>
      <w:r w:rsidRPr="005018F0">
        <w:rPr>
          <w:rFonts w:ascii="Arial" w:hAnsi="Arial"/>
          <w:b/>
        </w:rPr>
        <w:t>paying for medicines</w:t>
      </w:r>
      <w:r w:rsidRPr="005018F0">
        <w:rPr>
          <w:rFonts w:ascii="Arial" w:hAnsi="Arial"/>
        </w:rPr>
        <w:t xml:space="preserve"> – only those medicines on the agreed fixed-rate list (list A, B or C) are reimbursed. The financing rates for individual medicines are 50%, 90% or 100%. Costs exceeding the level of public financing for a given medicine are paid by the patient.</w:t>
      </w:r>
    </w:p>
    <w:p w:rsidRPr="005018F0" w:rsidR="00756968" w:rsidP="00756968" w:rsidRDefault="00756968">
      <w:pPr>
        <w:pStyle w:val="Normalny"/>
        <w:spacing w:after="240"/>
        <w:rPr>
          <w:rFonts w:ascii="Arial" w:hAnsi="Arial" w:cs="Arial"/>
        </w:rPr>
      </w:pPr>
      <w:r w:rsidRPr="005018F0">
        <w:rPr>
          <w:rFonts w:ascii="Arial" w:hAnsi="Arial"/>
        </w:rPr>
        <w:t xml:space="preserve">The patient must bear the cost of medical transport to Poland. </w:t>
      </w:r>
    </w:p>
    <w:p w:rsidRPr="005018F0" w:rsidR="00756968" w:rsidP="00756968" w:rsidRDefault="00756968">
      <w:pPr>
        <w:pStyle w:val="Normalny"/>
        <w:spacing w:after="240"/>
        <w:rPr>
          <w:rFonts w:ascii="Arial" w:hAnsi="Arial" w:cs="Arial"/>
          <w:b/>
          <w:color w:val="002060"/>
        </w:rPr>
      </w:pPr>
      <w:r w:rsidRPr="005018F0">
        <w:rPr>
          <w:rFonts w:ascii="Arial" w:hAnsi="Arial"/>
          <w:b/>
          <w:color w:val="002060"/>
        </w:rPr>
        <w:t xml:space="preserve">Does the EHIC cover treatment for coronavirus? </w:t>
      </w:r>
    </w:p>
    <w:p w:rsidRPr="005018F0" w:rsidR="00756968" w:rsidP="00756968" w:rsidRDefault="00756968">
      <w:pPr>
        <w:pStyle w:val="Normalny"/>
        <w:spacing w:after="240"/>
        <w:rPr>
          <w:rFonts w:ascii="Arial" w:hAnsi="Arial" w:cs="Arial"/>
          <w:color w:val="000000"/>
        </w:rPr>
      </w:pPr>
      <w:r w:rsidRPr="005018F0">
        <w:rPr>
          <w:rFonts w:ascii="Arial" w:hAnsi="Arial"/>
          <w:color w:val="000000"/>
        </w:rPr>
        <w:t>In Romania, if you get coronavirus, you will receive assistance under the same conditions as for Romanian citizens. However, you must bear the cost of ambulance transport to Poland.</w:t>
      </w:r>
    </w:p>
    <w:p w:rsidRPr="005018F0" w:rsidR="00756968" w:rsidP="00756968" w:rsidRDefault="00756968">
      <w:pPr>
        <w:pStyle w:val="Normalny"/>
        <w:spacing w:after="240"/>
        <w:rPr>
          <w:rFonts w:ascii="Arial" w:hAnsi="Arial" w:cs="Arial"/>
          <w:b/>
          <w:color w:val="002060"/>
        </w:rPr>
      </w:pPr>
      <w:r w:rsidRPr="005018F0">
        <w:rPr>
          <w:rFonts w:ascii="Arial" w:hAnsi="Arial"/>
          <w:b/>
          <w:color w:val="002060"/>
        </w:rPr>
        <w:t>How can I get a prescription?</w:t>
      </w:r>
    </w:p>
    <w:p w:rsidRPr="005018F0" w:rsidR="00633175" w:rsidP="006D554A" w:rsidRDefault="00756968">
      <w:pPr>
        <w:pStyle w:val="Normalny"/>
        <w:widowControl w:val="0"/>
        <w:shd w:val="clear" w:color="auto" w:fill="FFFFFF"/>
        <w:tabs>
          <w:tab w:val="left" w:pos="725"/>
        </w:tabs>
        <w:autoSpaceDE w:val="0"/>
        <w:autoSpaceDN w:val="0"/>
        <w:adjustRightInd w:val="0"/>
        <w:spacing w:after="240"/>
        <w:rPr>
          <w:rFonts w:ascii="Arial" w:hAnsi="Arial" w:cs="Arial"/>
        </w:rPr>
      </w:pPr>
      <w:r w:rsidRPr="005018F0">
        <w:rPr>
          <w:rFonts w:ascii="Arial" w:hAnsi="Arial"/>
        </w:rPr>
        <w:t>If you need a prescription for medicines, go to a doctor from the public healthcare system. You will then benefit from a reimbursement. You can use your prescription at any pharmacy that has an agreement with the National health insurance office.</w:t>
      </w:r>
    </w:p>
    <w:p w:rsidRPr="005018F0" w:rsidR="00756968" w:rsidP="005018F0" w:rsidRDefault="00756968">
      <w:pPr>
        <w:pStyle w:val="Normalny"/>
        <w:pageBreakBefore/>
        <w:spacing w:after="240"/>
        <w:rPr>
          <w:rFonts w:ascii="Arial" w:hAnsi="Arial" w:cs="Arial"/>
          <w:b/>
          <w:color w:val="000080"/>
        </w:rPr>
      </w:pPr>
      <w:r w:rsidRPr="005018F0">
        <w:rPr>
          <w:rFonts w:ascii="Arial" w:hAnsi="Arial"/>
          <w:b/>
          <w:color w:val="000080"/>
        </w:rPr>
        <w:lastRenderedPageBreak/>
        <w:t xml:space="preserve">Can I be reimbursed for </w:t>
      </w:r>
      <w:bookmarkStart w:name="_GoBack" w:id="0"/>
      <w:bookmarkEnd w:id="0"/>
      <w:r w:rsidRPr="005018F0">
        <w:rPr>
          <w:rFonts w:ascii="Arial" w:hAnsi="Arial"/>
          <w:b/>
          <w:color w:val="000080"/>
        </w:rPr>
        <w:t>private healthcare?</w:t>
      </w:r>
    </w:p>
    <w:p w:rsidRPr="005018F0" w:rsidR="00756968" w:rsidP="00756968" w:rsidRDefault="00756968">
      <w:pPr>
        <w:pStyle w:val="Normalny"/>
        <w:spacing w:after="240"/>
        <w:rPr>
          <w:rFonts w:ascii="Arial" w:hAnsi="Arial" w:cs="Arial"/>
        </w:rPr>
      </w:pPr>
      <w:r w:rsidRPr="005018F0">
        <w:rPr>
          <w:rFonts w:ascii="Arial" w:hAnsi="Arial"/>
        </w:rPr>
        <w:t>All costs for medical treatment in Romanian facilities outside the public healthcare system are covered by the patient.</w:t>
      </w:r>
    </w:p>
    <w:p w:rsidRPr="005018F0" w:rsidR="00756968" w:rsidP="00756968" w:rsidRDefault="00756968">
      <w:pPr>
        <w:pStyle w:val="Tekstkomentarza"/>
        <w:spacing w:after="240"/>
        <w:rPr>
          <w:rFonts w:ascii="Arial" w:hAnsi="Arial" w:cs="Arial"/>
          <w:sz w:val="24"/>
          <w:szCs w:val="24"/>
        </w:rPr>
      </w:pPr>
      <w:r w:rsidRPr="005018F0">
        <w:rPr>
          <w:rFonts w:ascii="Arial" w:hAnsi="Arial"/>
          <w:sz w:val="24"/>
          <w:szCs w:val="24"/>
        </w:rPr>
        <w:t xml:space="preserve">When you return to Poland, you can apply for a reimbursement of the costs incurred. However, they will be reimbursed according to the Polish rates that apply in settlements between the National Health Fund and Polish healthcare providers. The amount reimbursed may not exceed the actual expenditure incurred. </w:t>
      </w:r>
    </w:p>
    <w:p w:rsidRPr="005018F0" w:rsidR="00756968" w:rsidP="006D554A" w:rsidRDefault="00E97D87">
      <w:pPr>
        <w:pStyle w:val="Normalny"/>
        <w:spacing w:after="240"/>
        <w:rPr>
          <w:rStyle w:val="Hipercze"/>
        </w:rPr>
      </w:pPr>
      <w:hyperlink w:history="1" r:id="rId8">
        <w:r w:rsidRPr="005018F0" w:rsidR="000158F2">
          <w:rPr>
            <w:rStyle w:val="Hipercze"/>
            <w:rFonts w:ascii="Arial" w:hAnsi="Arial"/>
          </w:rPr>
          <w:t>Conditions and procedure for claiming reimbursement for treatment in private facilities.</w:t>
        </w:r>
      </w:hyperlink>
    </w:p>
    <w:p w:rsidRPr="005018F0" w:rsidR="00756968" w:rsidP="00756968" w:rsidRDefault="00756968">
      <w:pPr>
        <w:pStyle w:val="Normalny"/>
        <w:spacing w:after="240"/>
        <w:rPr>
          <w:rFonts w:ascii="Arial" w:hAnsi="Arial" w:cs="Arial"/>
          <w:b/>
          <w:color w:val="000080"/>
        </w:rPr>
      </w:pPr>
      <w:r w:rsidRPr="005018F0">
        <w:rPr>
          <w:rFonts w:ascii="Arial" w:hAnsi="Arial"/>
          <w:b/>
          <w:color w:val="000080"/>
        </w:rPr>
        <w:t>How to claim reimbursement for medical expenses</w:t>
      </w:r>
    </w:p>
    <w:p w:rsidRPr="005018F0" w:rsidR="00756968" w:rsidP="00756968" w:rsidRDefault="00756968">
      <w:pPr>
        <w:pStyle w:val="Normalny"/>
        <w:spacing w:after="240"/>
        <w:rPr>
          <w:rFonts w:ascii="Arial" w:hAnsi="Arial" w:cs="Arial"/>
        </w:rPr>
      </w:pPr>
      <w:r w:rsidRPr="005018F0">
        <w:rPr>
          <w:rFonts w:ascii="Arial" w:hAnsi="Arial"/>
        </w:rPr>
        <w:t>In order to claim the expenses paid for medical treatment, submit a request for reimbursement to your National Health Fund branch. Attach the original receipts, proof of payment and medicine packaging with the price.</w:t>
      </w:r>
    </w:p>
    <w:p w:rsidRPr="005018F0" w:rsidR="00756968" w:rsidP="00756968" w:rsidRDefault="00756968">
      <w:pPr>
        <w:pStyle w:val="Normalny"/>
        <w:spacing w:after="240"/>
        <w:rPr>
          <w:rFonts w:ascii="Arial" w:hAnsi="Arial" w:cs="Arial"/>
          <w:b/>
          <w:color w:val="000080"/>
        </w:rPr>
      </w:pPr>
      <w:r w:rsidRPr="005018F0">
        <w:rPr>
          <w:rFonts w:ascii="Arial" w:hAnsi="Arial"/>
          <w:b/>
          <w:color w:val="000080"/>
        </w:rPr>
        <w:t>Where to find more information</w:t>
      </w:r>
    </w:p>
    <w:p w:rsidRPr="005018F0" w:rsidR="00756968" w:rsidP="00756968" w:rsidRDefault="00756968">
      <w:pPr>
        <w:pStyle w:val="Normalny"/>
        <w:spacing w:after="240"/>
        <w:rPr>
          <w:rFonts w:ascii="Arial" w:hAnsi="Arial" w:cs="Arial"/>
        </w:rPr>
      </w:pPr>
      <w:r w:rsidRPr="005018F0">
        <w:rPr>
          <w:rFonts w:ascii="Arial" w:hAnsi="Arial"/>
        </w:rPr>
        <w:t>For more information on the healthcare system in Romania, contact the liaison body:</w:t>
      </w:r>
    </w:p>
    <w:p w:rsidRPr="005018F0" w:rsidR="007D4B44" w:rsidP="006D554A" w:rsidRDefault="007D4B44">
      <w:pPr>
        <w:pStyle w:val="Normalny"/>
        <w:widowControl w:val="0"/>
        <w:shd w:val="clear" w:color="auto" w:fill="FFFFFF"/>
        <w:tabs>
          <w:tab w:val="left" w:pos="725"/>
        </w:tabs>
        <w:autoSpaceDE w:val="0"/>
        <w:autoSpaceDN w:val="0"/>
        <w:adjustRightInd w:val="0"/>
        <w:spacing w:after="240"/>
        <w:contextualSpacing/>
        <w:rPr>
          <w:rFonts w:ascii="Arial" w:hAnsi="Arial" w:cs="Arial"/>
          <w:lang w:val="es-ES"/>
        </w:rPr>
      </w:pPr>
      <w:r w:rsidRPr="005018F0">
        <w:rPr>
          <w:rFonts w:ascii="Arial" w:hAnsi="Arial"/>
          <w:lang w:val="es-ES"/>
        </w:rPr>
        <w:t>Casa Judeteana de Asigurari de Sanatate</w:t>
      </w:r>
    </w:p>
    <w:p w:rsidRPr="005018F0" w:rsidR="007D4B44" w:rsidP="006D554A" w:rsidRDefault="009F4E27">
      <w:pPr>
        <w:pStyle w:val="Normalny"/>
        <w:widowControl w:val="0"/>
        <w:shd w:val="clear" w:color="auto" w:fill="FFFFFF"/>
        <w:tabs>
          <w:tab w:val="left" w:pos="725"/>
        </w:tabs>
        <w:autoSpaceDE w:val="0"/>
        <w:autoSpaceDN w:val="0"/>
        <w:adjustRightInd w:val="0"/>
        <w:spacing w:after="240"/>
        <w:contextualSpacing/>
        <w:rPr>
          <w:rFonts w:ascii="Arial" w:hAnsi="Arial" w:cs="Arial"/>
          <w:lang w:val="es-ES"/>
        </w:rPr>
      </w:pPr>
      <w:r w:rsidRPr="005018F0">
        <w:rPr>
          <w:rFonts w:ascii="Arial" w:hAnsi="Arial"/>
          <w:lang w:val="es-ES"/>
        </w:rPr>
        <w:t>Calea Calarasilor 248</w:t>
      </w:r>
    </w:p>
    <w:p w:rsidRPr="005018F0" w:rsidR="007D4B44" w:rsidP="006D554A" w:rsidRDefault="009F4E27">
      <w:pPr>
        <w:pStyle w:val="Normalny"/>
        <w:widowControl w:val="0"/>
        <w:shd w:val="clear" w:color="auto" w:fill="FFFFFF"/>
        <w:tabs>
          <w:tab w:val="left" w:pos="725"/>
        </w:tabs>
        <w:autoSpaceDE w:val="0"/>
        <w:autoSpaceDN w:val="0"/>
        <w:adjustRightInd w:val="0"/>
        <w:spacing w:after="240"/>
        <w:contextualSpacing/>
        <w:rPr>
          <w:rFonts w:ascii="Arial" w:hAnsi="Arial" w:cs="Arial"/>
          <w:lang w:val="es-ES"/>
        </w:rPr>
      </w:pPr>
      <w:r w:rsidRPr="005018F0">
        <w:rPr>
          <w:rFonts w:ascii="Arial" w:hAnsi="Arial"/>
          <w:lang w:val="es-ES"/>
        </w:rPr>
        <w:t>Bl. S 19, District 3</w:t>
      </w:r>
    </w:p>
    <w:p w:rsidRPr="005018F0" w:rsidR="007D4B44" w:rsidP="006D554A" w:rsidRDefault="007D4B44">
      <w:pPr>
        <w:pStyle w:val="Normalny"/>
        <w:widowControl w:val="0"/>
        <w:shd w:val="clear" w:color="auto" w:fill="FFFFFF"/>
        <w:tabs>
          <w:tab w:val="left" w:pos="725"/>
        </w:tabs>
        <w:autoSpaceDE w:val="0"/>
        <w:autoSpaceDN w:val="0"/>
        <w:adjustRightInd w:val="0"/>
        <w:spacing w:after="240"/>
        <w:contextualSpacing/>
        <w:rPr>
          <w:rFonts w:ascii="Arial" w:hAnsi="Arial" w:cs="Arial"/>
          <w:lang w:val="fr-LU"/>
        </w:rPr>
      </w:pPr>
      <w:r w:rsidRPr="005018F0">
        <w:rPr>
          <w:rFonts w:ascii="Arial" w:hAnsi="Arial"/>
          <w:lang w:val="fr-LU"/>
        </w:rPr>
        <w:t>030634 Bucuresti</w:t>
      </w:r>
    </w:p>
    <w:p w:rsidRPr="005018F0" w:rsidR="007D4B44" w:rsidP="006D554A" w:rsidRDefault="007D4B44">
      <w:pPr>
        <w:pStyle w:val="Normalny"/>
        <w:widowControl w:val="0"/>
        <w:shd w:val="clear" w:color="auto" w:fill="FFFFFF"/>
        <w:tabs>
          <w:tab w:val="left" w:pos="725"/>
        </w:tabs>
        <w:autoSpaceDE w:val="0"/>
        <w:autoSpaceDN w:val="0"/>
        <w:adjustRightInd w:val="0"/>
        <w:spacing w:after="240"/>
        <w:contextualSpacing/>
        <w:rPr>
          <w:rFonts w:ascii="Arial" w:hAnsi="Arial" w:cs="Arial"/>
          <w:lang w:val="fr-LU"/>
        </w:rPr>
      </w:pPr>
      <w:r w:rsidRPr="005018F0">
        <w:rPr>
          <w:rFonts w:ascii="Arial" w:hAnsi="Arial"/>
          <w:lang w:val="fr-LU"/>
        </w:rPr>
        <w:t>Phone: +40372.309.135, fax: +40372.309.283</w:t>
      </w:r>
    </w:p>
    <w:p w:rsidRPr="005018F0" w:rsidR="0078027D" w:rsidP="006D554A" w:rsidRDefault="00E97D87">
      <w:pPr>
        <w:pStyle w:val="Normalny"/>
        <w:widowControl w:val="0"/>
        <w:shd w:val="clear" w:color="auto" w:fill="FFFFFF"/>
        <w:tabs>
          <w:tab w:val="left" w:pos="725"/>
        </w:tabs>
        <w:autoSpaceDE w:val="0"/>
        <w:autoSpaceDN w:val="0"/>
        <w:adjustRightInd w:val="0"/>
        <w:spacing w:after="240"/>
        <w:contextualSpacing/>
        <w:rPr>
          <w:rStyle w:val="DNEx1"/>
          <w:lang w:val="fr-LU"/>
        </w:rPr>
      </w:pPr>
      <w:hyperlink w:history="1" r:id="rId9">
        <w:r w:rsidRPr="005018F0" w:rsidR="000158F2">
          <w:rPr>
            <w:rStyle w:val="DNEx1"/>
            <w:lang w:val="fr-LU"/>
          </w:rPr>
          <w:t>www.cnas.ro</w:t>
        </w:r>
      </w:hyperlink>
    </w:p>
    <w:p w:rsidRPr="005018F0" w:rsidR="008C4904" w:rsidP="006D554A" w:rsidRDefault="008C4904">
      <w:pPr>
        <w:pStyle w:val="Normalny"/>
        <w:spacing w:after="240"/>
        <w:rPr>
          <w:rFonts w:ascii="Arial" w:hAnsi="Arial" w:cs="Arial"/>
          <w:lang w:val="fr-LU"/>
        </w:rPr>
      </w:pPr>
    </w:p>
    <w:sectPr w:rsidRPr="005018F0" w:rsidR="008C4904" w:rsidSect="00B57BF7">
      <w:headerReference w:type="default" r:id="rId10"/>
      <w:footerReference w:type="even" r:id="rId11"/>
      <w:footerReference w:type="default" r:id="rId12"/>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7D87" w:rsidRDefault="00E97D87">
      <w:pPr>
        <w:pStyle w:val="Normalny"/>
      </w:pPr>
      <w:r>
        <w:separator/>
      </w:r>
    </w:p>
  </w:endnote>
  <w:endnote w:type="continuationSeparator" w:id="0">
    <w:p w:rsidR="00E97D87" w:rsidRDefault="00E97D87">
      <w:pPr>
        <w:pStyle w:val="Normalny"/>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BE2CD0" w:rsidR="00C00B2F" w:rsidP="00BE2CD0" w:rsidRDefault="00C00B2F">
    <w:pPr>
      <w:pStyle w:val="Stopka"/>
      <w:jc w:val="center"/>
      <w:rPr>
        <w:rFonts w:ascii="Arial" w:hAnsi="Arial"/>
        <w:noProof/>
        <w:color w:val="808080"/>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Pr="00151970" w:rsidR="00C00B2F" w:rsidP="00BE2CD0" w:rsidRDefault="00C00B2F">
    <w:pPr>
      <w:pStyle w:val="Stopka"/>
      <w:jc w:val="center"/>
      <w:rPr>
        <w:rFonts w:ascii="Arial" w:hAnsi="Arial"/>
        <w:noProof/>
        <w:color w:val="808080"/>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7D87" w:rsidRDefault="00E97D87">
      <w:pPr>
        <w:pStyle w:val="Normalny"/>
      </w:pPr>
      <w:r>
        <w:separator/>
      </w:r>
    </w:p>
  </w:footnote>
  <w:footnote w:type="continuationSeparator" w:id="0">
    <w:p w:rsidR="00E97D87" w:rsidRDefault="00E97D87">
      <w:pPr>
        <w:pStyle w:val="Normalny"/>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0B2F" w:rsidP="00EA4407" w:rsidRDefault="00C00B2F">
    <w:pPr>
      <w:pStyle w:val="Nagwek"/>
      <w:jc w:val="right"/>
      <w:rPr>
        <w:b/>
        <w:noProof/>
        <w:color w:val="33339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461921"/>
    <w:multiLevelType w:val="multilevel"/>
    <w:tmpl w:val="0000000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53AF15D7"/>
    <w:multiLevelType w:val="hybridMultilevel"/>
    <w:tmpl w:val="222C640C"/>
    <w:lvl w:ilvl="0" w:tplc="4F20D068">
      <w:start w:val="1"/>
      <w:numFmt w:val="bullet"/>
      <w:lvlText w:val=""/>
      <w:lvlJc w:val="left"/>
      <w:pPr>
        <w:ind w:left="720" w:hanging="360"/>
      </w:pPr>
      <w:rPr>
        <w:rFonts w:ascii="Symbol" w:hAnsi="Symbol" w:hint="default"/>
      </w:rPr>
    </w:lvl>
    <w:lvl w:ilvl="1" w:tplc="9EF22EDC" w:tentative="1">
      <w:start w:val="1"/>
      <w:numFmt w:val="bullet"/>
      <w:lvlText w:val="o"/>
      <w:lvlJc w:val="left"/>
      <w:pPr>
        <w:ind w:left="1440" w:hanging="360"/>
      </w:pPr>
      <w:rPr>
        <w:rFonts w:ascii="Courier New" w:hAnsi="Courier New" w:cs="Courier New" w:hint="default"/>
      </w:rPr>
    </w:lvl>
    <w:lvl w:ilvl="2" w:tplc="3BE40ABA" w:tentative="1">
      <w:start w:val="1"/>
      <w:numFmt w:val="bullet"/>
      <w:lvlText w:val=""/>
      <w:lvlJc w:val="left"/>
      <w:pPr>
        <w:ind w:left="2160" w:hanging="360"/>
      </w:pPr>
      <w:rPr>
        <w:rFonts w:ascii="Wingdings" w:hAnsi="Wingdings" w:hint="default"/>
      </w:rPr>
    </w:lvl>
    <w:lvl w:ilvl="3" w:tplc="05FCFB62" w:tentative="1">
      <w:start w:val="1"/>
      <w:numFmt w:val="bullet"/>
      <w:lvlText w:val=""/>
      <w:lvlJc w:val="left"/>
      <w:pPr>
        <w:ind w:left="2880" w:hanging="360"/>
      </w:pPr>
      <w:rPr>
        <w:rFonts w:ascii="Symbol" w:hAnsi="Symbol" w:hint="default"/>
      </w:rPr>
    </w:lvl>
    <w:lvl w:ilvl="4" w:tplc="A5A651B2" w:tentative="1">
      <w:start w:val="1"/>
      <w:numFmt w:val="bullet"/>
      <w:lvlText w:val="o"/>
      <w:lvlJc w:val="left"/>
      <w:pPr>
        <w:ind w:left="3600" w:hanging="360"/>
      </w:pPr>
      <w:rPr>
        <w:rFonts w:ascii="Courier New" w:hAnsi="Courier New" w:cs="Courier New" w:hint="default"/>
      </w:rPr>
    </w:lvl>
    <w:lvl w:ilvl="5" w:tplc="A740BDCC" w:tentative="1">
      <w:start w:val="1"/>
      <w:numFmt w:val="bullet"/>
      <w:lvlText w:val=""/>
      <w:lvlJc w:val="left"/>
      <w:pPr>
        <w:ind w:left="4320" w:hanging="360"/>
      </w:pPr>
      <w:rPr>
        <w:rFonts w:ascii="Wingdings" w:hAnsi="Wingdings" w:hint="default"/>
      </w:rPr>
    </w:lvl>
    <w:lvl w:ilvl="6" w:tplc="F5EC1B7A" w:tentative="1">
      <w:start w:val="1"/>
      <w:numFmt w:val="bullet"/>
      <w:lvlText w:val=""/>
      <w:lvlJc w:val="left"/>
      <w:pPr>
        <w:ind w:left="5040" w:hanging="360"/>
      </w:pPr>
      <w:rPr>
        <w:rFonts w:ascii="Symbol" w:hAnsi="Symbol" w:hint="default"/>
      </w:rPr>
    </w:lvl>
    <w:lvl w:ilvl="7" w:tplc="5ECE6E3E" w:tentative="1">
      <w:start w:val="1"/>
      <w:numFmt w:val="bullet"/>
      <w:lvlText w:val="o"/>
      <w:lvlJc w:val="left"/>
      <w:pPr>
        <w:ind w:left="5760" w:hanging="360"/>
      </w:pPr>
      <w:rPr>
        <w:rFonts w:ascii="Courier New" w:hAnsi="Courier New" w:cs="Courier New" w:hint="default"/>
      </w:rPr>
    </w:lvl>
    <w:lvl w:ilvl="8" w:tplc="B94C11F8" w:tentative="1">
      <w:start w:val="1"/>
      <w:numFmt w:val="bullet"/>
      <w:lvlText w:val=""/>
      <w:lvlJc w:val="left"/>
      <w:pPr>
        <w:ind w:left="6480" w:hanging="360"/>
      </w:pPr>
      <w:rPr>
        <w:rFonts w:ascii="Wingdings" w:hAnsi="Wingdings" w:hint="default"/>
      </w:rPr>
    </w:lvl>
  </w:abstractNum>
  <w:abstractNum w:abstractNumId="2" w15:restartNumberingAfterBreak="0">
    <w:nsid w:val="5A4375FA"/>
    <w:multiLevelType w:val="hybridMultilevel"/>
    <w:tmpl w:val="D242E9B6"/>
    <w:lvl w:ilvl="0" w:tplc="686C6A16">
      <w:start w:val="1"/>
      <w:numFmt w:val="bullet"/>
      <w:lvlText w:val=""/>
      <w:lvlJc w:val="left"/>
      <w:pPr>
        <w:tabs>
          <w:tab w:val="num" w:pos="540"/>
        </w:tabs>
        <w:ind w:left="540" w:hanging="360"/>
      </w:pPr>
      <w:rPr>
        <w:rFonts w:ascii="Symbol" w:hAnsi="Symbol" w:hint="default"/>
        <w:sz w:val="16"/>
        <w:szCs w:val="16"/>
      </w:rPr>
    </w:lvl>
    <w:lvl w:ilvl="1" w:tplc="549A2172" w:tentative="1">
      <w:start w:val="1"/>
      <w:numFmt w:val="bullet"/>
      <w:lvlText w:val="o"/>
      <w:lvlJc w:val="left"/>
      <w:pPr>
        <w:tabs>
          <w:tab w:val="num" w:pos="1080"/>
        </w:tabs>
        <w:ind w:left="1080" w:hanging="360"/>
      </w:pPr>
      <w:rPr>
        <w:rFonts w:ascii="Courier New" w:hAnsi="Courier New" w:cs="Courier New" w:hint="default"/>
      </w:rPr>
    </w:lvl>
    <w:lvl w:ilvl="2" w:tplc="9D485C2E" w:tentative="1">
      <w:start w:val="1"/>
      <w:numFmt w:val="bullet"/>
      <w:lvlText w:val=""/>
      <w:lvlJc w:val="left"/>
      <w:pPr>
        <w:tabs>
          <w:tab w:val="num" w:pos="1800"/>
        </w:tabs>
        <w:ind w:left="1800" w:hanging="360"/>
      </w:pPr>
      <w:rPr>
        <w:rFonts w:ascii="Wingdings" w:hAnsi="Wingdings" w:hint="default"/>
      </w:rPr>
    </w:lvl>
    <w:lvl w:ilvl="3" w:tplc="E2BCC5B6" w:tentative="1">
      <w:start w:val="1"/>
      <w:numFmt w:val="bullet"/>
      <w:lvlText w:val=""/>
      <w:lvlJc w:val="left"/>
      <w:pPr>
        <w:tabs>
          <w:tab w:val="num" w:pos="2520"/>
        </w:tabs>
        <w:ind w:left="2520" w:hanging="360"/>
      </w:pPr>
      <w:rPr>
        <w:rFonts w:ascii="Symbol" w:hAnsi="Symbol" w:hint="default"/>
      </w:rPr>
    </w:lvl>
    <w:lvl w:ilvl="4" w:tplc="65A60198" w:tentative="1">
      <w:start w:val="1"/>
      <w:numFmt w:val="bullet"/>
      <w:lvlText w:val="o"/>
      <w:lvlJc w:val="left"/>
      <w:pPr>
        <w:tabs>
          <w:tab w:val="num" w:pos="3240"/>
        </w:tabs>
        <w:ind w:left="3240" w:hanging="360"/>
      </w:pPr>
      <w:rPr>
        <w:rFonts w:ascii="Courier New" w:hAnsi="Courier New" w:cs="Courier New" w:hint="default"/>
      </w:rPr>
    </w:lvl>
    <w:lvl w:ilvl="5" w:tplc="94D88EE6" w:tentative="1">
      <w:start w:val="1"/>
      <w:numFmt w:val="bullet"/>
      <w:lvlText w:val=""/>
      <w:lvlJc w:val="left"/>
      <w:pPr>
        <w:tabs>
          <w:tab w:val="num" w:pos="3960"/>
        </w:tabs>
        <w:ind w:left="3960" w:hanging="360"/>
      </w:pPr>
      <w:rPr>
        <w:rFonts w:ascii="Wingdings" w:hAnsi="Wingdings" w:hint="default"/>
      </w:rPr>
    </w:lvl>
    <w:lvl w:ilvl="6" w:tplc="7A1ACC64" w:tentative="1">
      <w:start w:val="1"/>
      <w:numFmt w:val="bullet"/>
      <w:lvlText w:val=""/>
      <w:lvlJc w:val="left"/>
      <w:pPr>
        <w:tabs>
          <w:tab w:val="num" w:pos="4680"/>
        </w:tabs>
        <w:ind w:left="4680" w:hanging="360"/>
      </w:pPr>
      <w:rPr>
        <w:rFonts w:ascii="Symbol" w:hAnsi="Symbol" w:hint="default"/>
      </w:rPr>
    </w:lvl>
    <w:lvl w:ilvl="7" w:tplc="B9488BA2" w:tentative="1">
      <w:start w:val="1"/>
      <w:numFmt w:val="bullet"/>
      <w:lvlText w:val="o"/>
      <w:lvlJc w:val="left"/>
      <w:pPr>
        <w:tabs>
          <w:tab w:val="num" w:pos="5400"/>
        </w:tabs>
        <w:ind w:left="5400" w:hanging="360"/>
      </w:pPr>
      <w:rPr>
        <w:rFonts w:ascii="Courier New" w:hAnsi="Courier New" w:cs="Courier New" w:hint="default"/>
      </w:rPr>
    </w:lvl>
    <w:lvl w:ilvl="8" w:tplc="640A5018"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7D5047AA"/>
    <w:multiLevelType w:val="hybridMultilevel"/>
    <w:tmpl w:val="EB084946"/>
    <w:lvl w:ilvl="0" w:tplc="BBB49B3E">
      <w:start w:val="1"/>
      <w:numFmt w:val="bullet"/>
      <w:lvlText w:val=""/>
      <w:lvlJc w:val="left"/>
      <w:pPr>
        <w:tabs>
          <w:tab w:val="num" w:pos="360"/>
        </w:tabs>
        <w:ind w:left="360" w:hanging="360"/>
      </w:pPr>
      <w:rPr>
        <w:rFonts w:ascii="Symbol" w:hAnsi="Symbol" w:hint="default"/>
      </w:rPr>
    </w:lvl>
    <w:lvl w:ilvl="1" w:tplc="4064CE24" w:tentative="1">
      <w:start w:val="1"/>
      <w:numFmt w:val="bullet"/>
      <w:lvlText w:val="o"/>
      <w:lvlJc w:val="left"/>
      <w:pPr>
        <w:tabs>
          <w:tab w:val="num" w:pos="1080"/>
        </w:tabs>
        <w:ind w:left="1080" w:hanging="360"/>
      </w:pPr>
      <w:rPr>
        <w:rFonts w:ascii="Courier New" w:hAnsi="Courier New" w:cs="Courier New" w:hint="default"/>
      </w:rPr>
    </w:lvl>
    <w:lvl w:ilvl="2" w:tplc="CA0A5D26" w:tentative="1">
      <w:start w:val="1"/>
      <w:numFmt w:val="bullet"/>
      <w:lvlText w:val=""/>
      <w:lvlJc w:val="left"/>
      <w:pPr>
        <w:tabs>
          <w:tab w:val="num" w:pos="1800"/>
        </w:tabs>
        <w:ind w:left="1800" w:hanging="360"/>
      </w:pPr>
      <w:rPr>
        <w:rFonts w:ascii="Wingdings" w:hAnsi="Wingdings" w:hint="default"/>
      </w:rPr>
    </w:lvl>
    <w:lvl w:ilvl="3" w:tplc="FA366C14" w:tentative="1">
      <w:start w:val="1"/>
      <w:numFmt w:val="bullet"/>
      <w:lvlText w:val=""/>
      <w:lvlJc w:val="left"/>
      <w:pPr>
        <w:tabs>
          <w:tab w:val="num" w:pos="2520"/>
        </w:tabs>
        <w:ind w:left="2520" w:hanging="360"/>
      </w:pPr>
      <w:rPr>
        <w:rFonts w:ascii="Symbol" w:hAnsi="Symbol" w:hint="default"/>
      </w:rPr>
    </w:lvl>
    <w:lvl w:ilvl="4" w:tplc="BE8A4A0A" w:tentative="1">
      <w:start w:val="1"/>
      <w:numFmt w:val="bullet"/>
      <w:lvlText w:val="o"/>
      <w:lvlJc w:val="left"/>
      <w:pPr>
        <w:tabs>
          <w:tab w:val="num" w:pos="3240"/>
        </w:tabs>
        <w:ind w:left="3240" w:hanging="360"/>
      </w:pPr>
      <w:rPr>
        <w:rFonts w:ascii="Courier New" w:hAnsi="Courier New" w:cs="Courier New" w:hint="default"/>
      </w:rPr>
    </w:lvl>
    <w:lvl w:ilvl="5" w:tplc="D7161E22" w:tentative="1">
      <w:start w:val="1"/>
      <w:numFmt w:val="bullet"/>
      <w:lvlText w:val=""/>
      <w:lvlJc w:val="left"/>
      <w:pPr>
        <w:tabs>
          <w:tab w:val="num" w:pos="3960"/>
        </w:tabs>
        <w:ind w:left="3960" w:hanging="360"/>
      </w:pPr>
      <w:rPr>
        <w:rFonts w:ascii="Wingdings" w:hAnsi="Wingdings" w:hint="default"/>
      </w:rPr>
    </w:lvl>
    <w:lvl w:ilvl="6" w:tplc="89EA3666" w:tentative="1">
      <w:start w:val="1"/>
      <w:numFmt w:val="bullet"/>
      <w:lvlText w:val=""/>
      <w:lvlJc w:val="left"/>
      <w:pPr>
        <w:tabs>
          <w:tab w:val="num" w:pos="4680"/>
        </w:tabs>
        <w:ind w:left="4680" w:hanging="360"/>
      </w:pPr>
      <w:rPr>
        <w:rFonts w:ascii="Symbol" w:hAnsi="Symbol" w:hint="default"/>
      </w:rPr>
    </w:lvl>
    <w:lvl w:ilvl="7" w:tplc="69C63CDC" w:tentative="1">
      <w:start w:val="1"/>
      <w:numFmt w:val="bullet"/>
      <w:lvlText w:val="o"/>
      <w:lvlJc w:val="left"/>
      <w:pPr>
        <w:tabs>
          <w:tab w:val="num" w:pos="5400"/>
        </w:tabs>
        <w:ind w:left="5400" w:hanging="360"/>
      </w:pPr>
      <w:rPr>
        <w:rFonts w:ascii="Courier New" w:hAnsi="Courier New" w:cs="Courier New" w:hint="default"/>
      </w:rPr>
    </w:lvl>
    <w:lvl w:ilvl="8" w:tplc="1242BDC4" w:tentative="1">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3"/>
  </w:num>
  <w:num w:numId="3">
    <w:abstractNumId w:val="0"/>
    <w:lvlOverride w:ilvl="0">
      <w:lvl w:ilvl="0">
        <w:start w:val="1"/>
        <w:numFmt w:val="decimal"/>
        <w:lvlText w:val="%1)"/>
        <w:lvlJc w:val="left"/>
      </w:lvl>
    </w:lvlOverride>
    <w:lvlOverride w:ilvl="1">
      <w:lvl w:ilvl="1">
        <w:start w:val="1"/>
        <w:numFmt w:val="lowerLetter"/>
        <w:lvlText w:val="%2)"/>
        <w:lvlJc w:val="left"/>
      </w:lvl>
    </w:lvlOverride>
    <w:lvlOverride w:ilvl="2">
      <w:lvl w:ilvl="2">
        <w:start w:val="1"/>
        <w:numFmt w:val="lowerRoman"/>
        <w:lvlText w:val="%3)"/>
        <w:lvlJc w:val="left"/>
      </w:lvl>
    </w:lvlOverride>
    <w:lvlOverride w:ilvl="3">
      <w:lvl w:ilvl="3">
        <w:start w:val="1"/>
        <w:numFmt w:val="decimal"/>
        <w:lvlText w:val="(%4)"/>
        <w:lvlJc w:val="left"/>
      </w:lvl>
    </w:lvlOverride>
    <w:lvlOverride w:ilvl="4">
      <w:lvl w:ilvl="4">
        <w:start w:val="1"/>
        <w:numFmt w:val="lowerLetter"/>
        <w:lvlText w:val="(%5)"/>
        <w:lvlJc w:val="left"/>
      </w:lvl>
    </w:lvlOverride>
    <w:lvlOverride w:ilvl="5">
      <w:lvl w:ilvl="5">
        <w:start w:val="1"/>
        <w:numFmt w:val="lowerRoman"/>
        <w:lvlText w:val="(%6)"/>
        <w:lvlJc w:val="left"/>
      </w:lvl>
    </w:lvlOverride>
    <w:lvlOverride w:ilvl="6">
      <w:lvl w:ilvl="6">
        <w:start w:val="1"/>
        <w:numFmt w:val="decimal"/>
        <w:lvlText w:val="%7."/>
        <w:lvlJc w:val="left"/>
      </w:lvl>
    </w:lvlOverride>
    <w:lvlOverride w:ilvl="7">
      <w:lvl w:ilvl="7">
        <w:start w:val="1"/>
        <w:numFmt w:val="lowerLetter"/>
        <w:lvlText w:val="%8."/>
        <w:lvlJc w:val="left"/>
      </w:lvl>
    </w:lvlOverride>
    <w:lvlOverride w:ilvl="8">
      <w:lvl w:ilvl="8">
        <w:start w:val="1"/>
        <w:numFmt w:val="lowerRoman"/>
        <w:lvlText w:val="%9."/>
        <w:lvlJc w:val="left"/>
      </w:lvl>
    </w:lvlOverride>
  </w:num>
  <w:num w:numId="4">
    <w:abstractNumId w:val="0"/>
    <w:lvlOverride w:ilvl="0">
      <w:lvl w:ilvl="0">
        <w:start w:val="1"/>
        <w:numFmt w:val="upperRoman"/>
        <w:lvlText w:val="%1."/>
        <w:lvlJc w:val="left"/>
      </w:lvl>
    </w:lvlOverride>
    <w:lvlOverride w:ilvl="1">
      <w:lvl w:ilvl="1">
        <w:start w:val="1"/>
        <w:numFmt w:val="upperLetter"/>
        <w:lvlText w:val="%2."/>
        <w:lvlJc w:val="left"/>
      </w:lvl>
    </w:lvlOverride>
    <w:lvlOverride w:ilvl="2">
      <w:lvl w:ilvl="2">
        <w:start w:val="1"/>
        <w:numFmt w:val="decimal"/>
        <w:lvlText w:val="%3."/>
        <w:lvlJc w:val="left"/>
      </w:lvl>
    </w:lvlOverride>
    <w:lvlOverride w:ilvl="3">
      <w:lvl w:ilvl="3">
        <w:start w:val="1"/>
        <w:numFmt w:val="lowerLetter"/>
        <w:lvlText w:val="%4)"/>
        <w:lvlJc w:val="left"/>
      </w:lvl>
    </w:lvlOverride>
    <w:lvlOverride w:ilvl="4">
      <w:lvl w:ilvl="4">
        <w:start w:val="1"/>
        <w:numFmt w:val="decimal"/>
        <w:lvlText w:val="(%5)"/>
        <w:lvlJc w:val="left"/>
      </w:lvl>
    </w:lvlOverride>
    <w:lvlOverride w:ilvl="5">
      <w:lvl w:ilvl="5">
        <w:start w:val="1"/>
        <w:numFmt w:val="lowerLetter"/>
        <w:lvlText w:val="(%6)"/>
        <w:lvlJc w:val="left"/>
      </w:lvl>
    </w:lvlOverride>
    <w:lvlOverride w:ilvl="6">
      <w:lvl w:ilvl="6">
        <w:start w:val="1"/>
        <w:numFmt w:val="lowerRoman"/>
        <w:lvlText w:val="(%7)"/>
        <w:lvlJc w:val="left"/>
      </w:lvl>
    </w:lvlOverride>
    <w:lvlOverride w:ilvl="7">
      <w:lvl w:ilvl="7">
        <w:start w:val="1"/>
        <w:numFmt w:val="lowerLetter"/>
        <w:lvlText w:val="(%8)"/>
        <w:lvlJc w:val="left"/>
      </w:lvl>
    </w:lvlOverride>
    <w:lvlOverride w:ilvl="8">
      <w:lvl w:ilvl="8">
        <w:start w:val="1"/>
        <w:numFmt w:val="lowerRoman"/>
        <w:lvlText w:val="(%9)"/>
        <w:lvlJc w:val="left"/>
      </w:lvl>
    </w:lvlOverride>
  </w:num>
  <w:num w:numId="5">
    <w:abstractNumId w:val="0"/>
    <w:lvlOverride w:ilvl="0">
      <w:lvl w:ilvl="0">
        <w:start w:val="1"/>
        <w:numFmt w:val="decimal"/>
        <w:lvlText w:val="%1."/>
        <w:lvlJc w:val="left"/>
      </w:lvl>
    </w:lvlOverride>
    <w:lvlOverride w:ilvl="1">
      <w:lvl w:ilvl="1">
        <w:start w:val="1"/>
        <w:numFmt w:val="decimal"/>
        <w:lvlText w:val="%1.%2."/>
        <w:lvlJc w:val="left"/>
      </w:lvl>
    </w:lvlOverride>
    <w:lvlOverride w:ilvl="2">
      <w:lvl w:ilvl="2">
        <w:start w:val="1"/>
        <w:numFmt w:val="decimal"/>
        <w:lvlText w:val="%1.%2.%3."/>
        <w:lvlJc w:val="left"/>
      </w:lvl>
    </w:lvlOverride>
    <w:lvlOverride w:ilvl="3">
      <w:lvl w:ilvl="3">
        <w:start w:val="1"/>
        <w:numFmt w:val="decimal"/>
        <w:lvlText w:val="%1.%2.%3.%4."/>
        <w:lvlJc w:val="left"/>
      </w:lvl>
    </w:lvlOverride>
    <w:lvlOverride w:ilvl="4">
      <w:lvl w:ilvl="4">
        <w:start w:val="1"/>
        <w:numFmt w:val="decimal"/>
        <w:lvlText w:val="%1.%2.%3.%4.%5."/>
        <w:lvlJc w:val="left"/>
      </w:lvl>
    </w:lvlOverride>
    <w:lvlOverride w:ilvl="5">
      <w:lvl w:ilvl="5">
        <w:start w:val="1"/>
        <w:numFmt w:val="decimal"/>
        <w:lvlText w:val="%1.%2.%3.%4.%5.%6."/>
        <w:lvlJc w:val="left"/>
      </w:lvl>
    </w:lvlOverride>
    <w:lvlOverride w:ilvl="6">
      <w:lvl w:ilvl="6">
        <w:start w:val="1"/>
        <w:numFmt w:val="decimal"/>
        <w:lvlText w:val="%1.%2.%3.%4.%5.%6.%7."/>
        <w:lvlJc w:val="left"/>
      </w:lvl>
    </w:lvlOverride>
    <w:lvlOverride w:ilvl="7">
      <w:lvl w:ilvl="7">
        <w:start w:val="1"/>
        <w:numFmt w:val="decimal"/>
        <w:lvlText w:val="%1.%2.%3.%4.%5.%6.%7.%8."/>
        <w:lvlJc w:val="left"/>
      </w:lvl>
    </w:lvlOverride>
    <w:lvlOverride w:ilvl="8">
      <w:lvl w:ilvl="8">
        <w:start w:val="1"/>
        <w:numFmt w:val="decimal"/>
        <w:lvlText w:val="%1.%2.%3.%4.%5.%6.%7.%8.%9."/>
        <w:lvlJc w:val="left"/>
      </w:lvl>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09D"/>
    <w:rsid w:val="000158F2"/>
    <w:rsid w:val="00037712"/>
    <w:rsid w:val="00037D4E"/>
    <w:rsid w:val="000575BD"/>
    <w:rsid w:val="000625BD"/>
    <w:rsid w:val="00067927"/>
    <w:rsid w:val="000719A1"/>
    <w:rsid w:val="000730D2"/>
    <w:rsid w:val="0008134B"/>
    <w:rsid w:val="000934FA"/>
    <w:rsid w:val="000C42E5"/>
    <w:rsid w:val="000F7D36"/>
    <w:rsid w:val="00121F15"/>
    <w:rsid w:val="00127BA7"/>
    <w:rsid w:val="00143643"/>
    <w:rsid w:val="00151703"/>
    <w:rsid w:val="00151970"/>
    <w:rsid w:val="0016101B"/>
    <w:rsid w:val="00164B0B"/>
    <w:rsid w:val="00174166"/>
    <w:rsid w:val="00182835"/>
    <w:rsid w:val="0019344C"/>
    <w:rsid w:val="001946C9"/>
    <w:rsid w:val="001B2FAB"/>
    <w:rsid w:val="001E45A5"/>
    <w:rsid w:val="00204812"/>
    <w:rsid w:val="00225ECE"/>
    <w:rsid w:val="00235082"/>
    <w:rsid w:val="002628E9"/>
    <w:rsid w:val="0026384A"/>
    <w:rsid w:val="00270A3E"/>
    <w:rsid w:val="00271EFA"/>
    <w:rsid w:val="002809D5"/>
    <w:rsid w:val="002820DC"/>
    <w:rsid w:val="002A5449"/>
    <w:rsid w:val="002A6DF4"/>
    <w:rsid w:val="002C096D"/>
    <w:rsid w:val="002C0A45"/>
    <w:rsid w:val="002F5A6F"/>
    <w:rsid w:val="0034605A"/>
    <w:rsid w:val="003477BA"/>
    <w:rsid w:val="00352CA6"/>
    <w:rsid w:val="0037509D"/>
    <w:rsid w:val="003B0CD2"/>
    <w:rsid w:val="003C20C2"/>
    <w:rsid w:val="003D13D2"/>
    <w:rsid w:val="003E171C"/>
    <w:rsid w:val="003E2A46"/>
    <w:rsid w:val="003F0112"/>
    <w:rsid w:val="0042749F"/>
    <w:rsid w:val="0043313C"/>
    <w:rsid w:val="004332D7"/>
    <w:rsid w:val="004643C3"/>
    <w:rsid w:val="00481D28"/>
    <w:rsid w:val="004838BB"/>
    <w:rsid w:val="004A7B16"/>
    <w:rsid w:val="004B5761"/>
    <w:rsid w:val="004C2590"/>
    <w:rsid w:val="004D5ABE"/>
    <w:rsid w:val="004D7F5C"/>
    <w:rsid w:val="004E554F"/>
    <w:rsid w:val="005018F0"/>
    <w:rsid w:val="005318D2"/>
    <w:rsid w:val="005522DB"/>
    <w:rsid w:val="0056086E"/>
    <w:rsid w:val="00564A31"/>
    <w:rsid w:val="00583E8A"/>
    <w:rsid w:val="005954BE"/>
    <w:rsid w:val="005B4843"/>
    <w:rsid w:val="005C09F9"/>
    <w:rsid w:val="005C6A4C"/>
    <w:rsid w:val="005D7292"/>
    <w:rsid w:val="005E497E"/>
    <w:rsid w:val="006131F5"/>
    <w:rsid w:val="00633175"/>
    <w:rsid w:val="00657E00"/>
    <w:rsid w:val="00676A56"/>
    <w:rsid w:val="00677260"/>
    <w:rsid w:val="0068798E"/>
    <w:rsid w:val="006909E8"/>
    <w:rsid w:val="006C3E20"/>
    <w:rsid w:val="006C50CD"/>
    <w:rsid w:val="006D03DC"/>
    <w:rsid w:val="006D43D7"/>
    <w:rsid w:val="006D554A"/>
    <w:rsid w:val="006F0C00"/>
    <w:rsid w:val="00712816"/>
    <w:rsid w:val="0073697D"/>
    <w:rsid w:val="00750BF1"/>
    <w:rsid w:val="00756968"/>
    <w:rsid w:val="00766A40"/>
    <w:rsid w:val="0078027D"/>
    <w:rsid w:val="00794B55"/>
    <w:rsid w:val="007A1E96"/>
    <w:rsid w:val="007A3D95"/>
    <w:rsid w:val="007D22A2"/>
    <w:rsid w:val="007D4B44"/>
    <w:rsid w:val="007D6E4A"/>
    <w:rsid w:val="007F33A7"/>
    <w:rsid w:val="00802EA4"/>
    <w:rsid w:val="00820A3F"/>
    <w:rsid w:val="00861D60"/>
    <w:rsid w:val="00870D6E"/>
    <w:rsid w:val="00891115"/>
    <w:rsid w:val="008A072F"/>
    <w:rsid w:val="008A50BD"/>
    <w:rsid w:val="008B0EC9"/>
    <w:rsid w:val="008B5736"/>
    <w:rsid w:val="008B74CA"/>
    <w:rsid w:val="008C4904"/>
    <w:rsid w:val="008C5C1C"/>
    <w:rsid w:val="008D2397"/>
    <w:rsid w:val="008D479C"/>
    <w:rsid w:val="008E5632"/>
    <w:rsid w:val="008F07B3"/>
    <w:rsid w:val="009427AA"/>
    <w:rsid w:val="009433C9"/>
    <w:rsid w:val="009C0BA5"/>
    <w:rsid w:val="009F4E27"/>
    <w:rsid w:val="009F7F97"/>
    <w:rsid w:val="00A1089C"/>
    <w:rsid w:val="00A2068B"/>
    <w:rsid w:val="00A53966"/>
    <w:rsid w:val="00A550FD"/>
    <w:rsid w:val="00A6295D"/>
    <w:rsid w:val="00A66D91"/>
    <w:rsid w:val="00A85227"/>
    <w:rsid w:val="00A975B1"/>
    <w:rsid w:val="00AA0A04"/>
    <w:rsid w:val="00AB017F"/>
    <w:rsid w:val="00AB0A8D"/>
    <w:rsid w:val="00AB2048"/>
    <w:rsid w:val="00AC5E65"/>
    <w:rsid w:val="00B00D02"/>
    <w:rsid w:val="00B249A3"/>
    <w:rsid w:val="00B24B70"/>
    <w:rsid w:val="00B353BE"/>
    <w:rsid w:val="00B47F76"/>
    <w:rsid w:val="00B57BF7"/>
    <w:rsid w:val="00B644A4"/>
    <w:rsid w:val="00B95B8B"/>
    <w:rsid w:val="00BA2025"/>
    <w:rsid w:val="00BA5E27"/>
    <w:rsid w:val="00BE2CD0"/>
    <w:rsid w:val="00BE4D7C"/>
    <w:rsid w:val="00C00B2F"/>
    <w:rsid w:val="00C35826"/>
    <w:rsid w:val="00C4485E"/>
    <w:rsid w:val="00C5362E"/>
    <w:rsid w:val="00C70571"/>
    <w:rsid w:val="00CB465A"/>
    <w:rsid w:val="00D04376"/>
    <w:rsid w:val="00D07654"/>
    <w:rsid w:val="00D220DF"/>
    <w:rsid w:val="00D24BEB"/>
    <w:rsid w:val="00D4520F"/>
    <w:rsid w:val="00D66BD8"/>
    <w:rsid w:val="00D82E24"/>
    <w:rsid w:val="00E06511"/>
    <w:rsid w:val="00E16EA2"/>
    <w:rsid w:val="00E20012"/>
    <w:rsid w:val="00E73193"/>
    <w:rsid w:val="00E73E83"/>
    <w:rsid w:val="00E8291C"/>
    <w:rsid w:val="00E83DE8"/>
    <w:rsid w:val="00E90CED"/>
    <w:rsid w:val="00E94CFA"/>
    <w:rsid w:val="00E97D87"/>
    <w:rsid w:val="00EA4407"/>
    <w:rsid w:val="00EA7E2A"/>
    <w:rsid w:val="00EB48CE"/>
    <w:rsid w:val="00EE0BD4"/>
    <w:rsid w:val="00F14091"/>
    <w:rsid w:val="00F3657D"/>
    <w:rsid w:val="00F57538"/>
    <w:rsid w:val="00F745A2"/>
    <w:rsid w:val="00F75262"/>
    <w:rsid w:val="00F80822"/>
    <w:rsid w:val="00F86336"/>
    <w:rsid w:val="00F93B2A"/>
    <w:rsid w:val="00FA3073"/>
    <w:rsid w:val="00FA38D8"/>
    <w:rsid w:val="00FC5EF0"/>
    <w:rsid w:val="00FF2857"/>
    <w:rsid w:val="00FF389B"/>
    <w:rsid w:val="00FF424F"/>
    <w:rsid w:val="00FF7284"/>
  </w:rsids>
  <m:mathPr>
    <m:mathFont m:val="Cambria Math"/>
    <m:brkBin m:val="before"/>
    <m:brkBinSub m:val="--"/>
    <m:smallFrac m:val="0"/>
    <m:dispDef/>
    <m:lMargin m:val="0"/>
    <m:rMargin m:val="0"/>
    <m:defJc m:val="centerGroup"/>
    <m:wrapIndent m:val="1440"/>
    <m:intLim m:val="subSup"/>
    <m:naryLim m:val="undOvr"/>
  </m:mathPr>
  <w:themeFontLang w:val="fr-L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93BD0582-3F0C-4AB6-9EBC-D0AC80FB2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fr-LU"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ny">
    <w:name w:val="Normalny"/>
    <w:qFormat/>
    <w:rPr>
      <w:sz w:val="24"/>
      <w:szCs w:val="24"/>
      <w:lang w:eastAsia="pl-PL"/>
    </w:rPr>
  </w:style>
  <w:style w:type="paragraph" w:customStyle="1" w:styleId="Nagwek1">
    <w:name w:val="Nagłówek 1"/>
    <w:basedOn w:val="Normalny"/>
    <w:next w:val="Normalny"/>
    <w:qFormat/>
    <w:rsid w:val="0042749F"/>
    <w:pPr>
      <w:keepNext/>
      <w:outlineLvl w:val="0"/>
    </w:pPr>
    <w:rPr>
      <w:b/>
      <w:bCs/>
    </w:rPr>
  </w:style>
  <w:style w:type="paragraph" w:customStyle="1" w:styleId="Nagwek2">
    <w:name w:val="Nagłówek 2"/>
    <w:basedOn w:val="Normalny"/>
    <w:next w:val="Normalny"/>
    <w:link w:val="Nagwek2Znak"/>
    <w:qFormat/>
    <w:rsid w:val="00AB017F"/>
    <w:pPr>
      <w:keepNext/>
      <w:spacing w:before="240" w:after="60"/>
      <w:outlineLvl w:val="1"/>
    </w:pPr>
    <w:rPr>
      <w:rFonts w:ascii="Calibri Light" w:hAnsi="Calibri Light"/>
      <w:b/>
      <w:bCs/>
      <w:i/>
      <w:iCs/>
      <w:sz w:val="28"/>
      <w:szCs w:val="28"/>
    </w:rPr>
  </w:style>
  <w:style w:type="paragraph" w:customStyle="1" w:styleId="Nagwek3">
    <w:name w:val="Nagłówek 3"/>
    <w:basedOn w:val="Normalny"/>
    <w:next w:val="Normalny"/>
    <w:link w:val="Nagwek3Znak"/>
    <w:qFormat/>
    <w:rsid w:val="00AB017F"/>
    <w:pPr>
      <w:keepNext/>
      <w:spacing w:before="240" w:after="60"/>
      <w:outlineLvl w:val="2"/>
    </w:pPr>
    <w:rPr>
      <w:rFonts w:ascii="Calibri Light" w:hAnsi="Calibri Light"/>
      <w:b/>
      <w:bCs/>
      <w:sz w:val="26"/>
      <w:szCs w:val="26"/>
    </w:rPr>
  </w:style>
  <w:style w:type="character" w:customStyle="1" w:styleId="Domylnaczcionkaakapitu">
    <w:name w:val="Domyślna czcionka akapitu"/>
    <w:semiHidden/>
  </w:style>
  <w:style w:type="table" w:customStyle="1" w:styleId="Standardowy">
    <w:name w:val="Standardowy"/>
    <w:semiHidden/>
    <w:tblPr>
      <w:tblInd w:w="0" w:type="dxa"/>
      <w:tblCellMar>
        <w:top w:w="0" w:type="dxa"/>
        <w:left w:w="108" w:type="dxa"/>
        <w:bottom w:w="0" w:type="dxa"/>
        <w:right w:w="108" w:type="dxa"/>
      </w:tblCellMar>
    </w:tblPr>
  </w:style>
  <w:style w:type="numbering" w:customStyle="1" w:styleId="Bezlisty">
    <w:name w:val="Bez listy"/>
    <w:semiHidden/>
  </w:style>
  <w:style w:type="paragraph" w:customStyle="1" w:styleId="Nagwek">
    <w:name w:val="Nagłówek"/>
    <w:basedOn w:val="Normalny"/>
    <w:link w:val="NagwekZnak"/>
    <w:rsid w:val="000575BD"/>
    <w:pPr>
      <w:tabs>
        <w:tab w:val="center" w:pos="4536"/>
        <w:tab w:val="right" w:pos="9072"/>
      </w:tabs>
    </w:pPr>
  </w:style>
  <w:style w:type="paragraph" w:customStyle="1" w:styleId="Stopka">
    <w:name w:val="Stopka"/>
    <w:basedOn w:val="Normalny"/>
    <w:link w:val="StopkaZnak"/>
    <w:rsid w:val="000575BD"/>
    <w:pPr>
      <w:tabs>
        <w:tab w:val="center" w:pos="4536"/>
        <w:tab w:val="right" w:pos="9072"/>
      </w:tabs>
    </w:pPr>
  </w:style>
  <w:style w:type="paragraph" w:customStyle="1" w:styleId="Tekstpodstawowy">
    <w:name w:val="Tekst podstawowy"/>
    <w:basedOn w:val="Normalny"/>
    <w:rsid w:val="007D6E4A"/>
    <w:pPr>
      <w:autoSpaceDE w:val="0"/>
      <w:autoSpaceDN w:val="0"/>
      <w:adjustRightInd w:val="0"/>
      <w:ind w:right="-4"/>
    </w:pPr>
    <w:rPr>
      <w:rFonts w:ascii="Arial" w:hAnsi="Arial" w:cs="Arial"/>
      <w:sz w:val="22"/>
      <w:szCs w:val="22"/>
    </w:rPr>
  </w:style>
  <w:style w:type="character" w:customStyle="1" w:styleId="Hipercze">
    <w:name w:val="Hiperłącze"/>
    <w:rsid w:val="00F75262"/>
    <w:rPr>
      <w:strike w:val="0"/>
      <w:dstrike w:val="0"/>
      <w:color w:val="3366CC"/>
      <w:u w:val="none"/>
      <w:effect w:val="none"/>
    </w:rPr>
  </w:style>
  <w:style w:type="table" w:customStyle="1" w:styleId="Tabela-Siatka">
    <w:name w:val="Tabela - Siatka"/>
    <w:basedOn w:val="Standardowy"/>
    <w:rsid w:val="008C49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grubienie">
    <w:name w:val="Pogrubienie"/>
    <w:qFormat/>
    <w:rsid w:val="005954BE"/>
    <w:rPr>
      <w:b/>
    </w:rPr>
  </w:style>
  <w:style w:type="paragraph" w:customStyle="1" w:styleId="Tekstpodstawowy2">
    <w:name w:val="Tekst podstawowy 2"/>
    <w:basedOn w:val="Normalny"/>
    <w:rsid w:val="005C09F9"/>
    <w:pPr>
      <w:spacing w:after="120" w:line="480" w:lineRule="auto"/>
    </w:pPr>
  </w:style>
  <w:style w:type="character" w:customStyle="1" w:styleId="NagwekZnak">
    <w:name w:val="Nagłówek Znak"/>
    <w:link w:val="Nagwek"/>
    <w:rsid w:val="0026384A"/>
    <w:rPr>
      <w:sz w:val="24"/>
      <w:szCs w:val="24"/>
    </w:rPr>
  </w:style>
  <w:style w:type="character" w:customStyle="1" w:styleId="StopkaZnak">
    <w:name w:val="Stopka Znak"/>
    <w:link w:val="Stopka"/>
    <w:rsid w:val="0019344C"/>
    <w:rPr>
      <w:sz w:val="24"/>
      <w:szCs w:val="24"/>
    </w:rPr>
  </w:style>
  <w:style w:type="paragraph" w:customStyle="1" w:styleId="Tekstkomentarza">
    <w:name w:val="Tekst komentarza"/>
    <w:basedOn w:val="Normalny"/>
    <w:link w:val="TekstkomentarzaZnak"/>
    <w:rsid w:val="00756968"/>
    <w:rPr>
      <w:sz w:val="20"/>
      <w:szCs w:val="20"/>
    </w:rPr>
  </w:style>
  <w:style w:type="character" w:customStyle="1" w:styleId="TekstkomentarzaZnak">
    <w:name w:val="Tekst komentarza Znak"/>
    <w:basedOn w:val="Domylnaczcionkaakapitu"/>
    <w:link w:val="Tekstkomentarza"/>
    <w:rsid w:val="00756968"/>
  </w:style>
  <w:style w:type="paragraph" w:customStyle="1" w:styleId="Tekstdymka">
    <w:name w:val="Tekst dymka"/>
    <w:basedOn w:val="Normalny"/>
    <w:link w:val="TekstdymkaZnak"/>
    <w:rsid w:val="00B95B8B"/>
    <w:rPr>
      <w:rFonts w:ascii="Segoe UI" w:hAnsi="Segoe UI" w:cs="Segoe UI"/>
      <w:sz w:val="18"/>
      <w:szCs w:val="18"/>
    </w:rPr>
  </w:style>
  <w:style w:type="character" w:customStyle="1" w:styleId="TekstdymkaZnak">
    <w:name w:val="Tekst dymka Znak"/>
    <w:link w:val="Tekstdymka"/>
    <w:rsid w:val="00B95B8B"/>
    <w:rPr>
      <w:rFonts w:ascii="Segoe UI" w:hAnsi="Segoe UI" w:cs="Segoe UI"/>
      <w:sz w:val="18"/>
      <w:szCs w:val="18"/>
    </w:rPr>
  </w:style>
  <w:style w:type="character" w:customStyle="1" w:styleId="Odwoaniedokomentarza">
    <w:name w:val="Odwołanie do komentarza"/>
    <w:rsid w:val="00B95B8B"/>
    <w:rPr>
      <w:sz w:val="16"/>
      <w:szCs w:val="16"/>
    </w:rPr>
  </w:style>
  <w:style w:type="paragraph" w:customStyle="1" w:styleId="Tematkomentarza">
    <w:name w:val="Temat komentarza"/>
    <w:basedOn w:val="Tekstkomentarza"/>
    <w:next w:val="Tekstkomentarza"/>
    <w:link w:val="TematkomentarzaZnak"/>
    <w:rsid w:val="00B95B8B"/>
    <w:rPr>
      <w:b/>
      <w:bCs/>
    </w:rPr>
  </w:style>
  <w:style w:type="character" w:customStyle="1" w:styleId="TematkomentarzaZnak">
    <w:name w:val="Temat komentarza Znak"/>
    <w:link w:val="Tematkomentarza"/>
    <w:rsid w:val="00B95B8B"/>
    <w:rPr>
      <w:b/>
      <w:bCs/>
    </w:rPr>
  </w:style>
  <w:style w:type="paragraph" w:customStyle="1" w:styleId="Poprawka">
    <w:name w:val="Poprawka"/>
    <w:hidden/>
    <w:uiPriority w:val="99"/>
    <w:semiHidden/>
    <w:rsid w:val="00B95B8B"/>
    <w:rPr>
      <w:sz w:val="24"/>
      <w:szCs w:val="24"/>
      <w:lang w:eastAsia="pl-PL"/>
    </w:rPr>
  </w:style>
  <w:style w:type="character" w:customStyle="1" w:styleId="Nagwek2Znak">
    <w:name w:val="Nagłówek 2 Znak"/>
    <w:link w:val="Nagwek2"/>
    <w:semiHidden/>
    <w:rsid w:val="00AB017F"/>
    <w:rPr>
      <w:rFonts w:ascii="Calibri Light" w:eastAsia="Times New Roman" w:hAnsi="Calibri Light" w:cs="Times New Roman"/>
      <w:b/>
      <w:bCs/>
      <w:i/>
      <w:iCs/>
      <w:sz w:val="28"/>
      <w:szCs w:val="28"/>
    </w:rPr>
  </w:style>
  <w:style w:type="character" w:customStyle="1" w:styleId="Nagwek3Znak">
    <w:name w:val="Nagłówek 3 Znak"/>
    <w:link w:val="Nagwek3"/>
    <w:semiHidden/>
    <w:rsid w:val="00AB017F"/>
    <w:rPr>
      <w:rFonts w:ascii="Calibri Light" w:eastAsia="Times New Roman" w:hAnsi="Calibri Light" w:cs="Times New Roman"/>
      <w:b/>
      <w:bCs/>
      <w:sz w:val="26"/>
      <w:szCs w:val="26"/>
    </w:rPr>
  </w:style>
  <w:style w:type="character" w:customStyle="1" w:styleId="DNEx1">
    <w:name w:val="DNEx1"/>
    <w:basedOn w:val="Hipercze"/>
    <w:qFormat/>
    <w:rsid w:val="00164B0B"/>
    <w:rPr>
      <w:rFonts w:ascii="Arial" w:hAnsi="Arial" w:cs="Arial"/>
      <w:strike w:val="0"/>
      <w:dstrike w:val="0"/>
      <w:color w:val="3366CC"/>
      <w:sz w:val="24"/>
      <w:u w:val="none"/>
      <w:effect w:val="none"/>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9146757">
      <w:bodyDiv w:val="1"/>
      <w:marLeft w:val="0"/>
      <w:marRight w:val="0"/>
      <w:marTop w:val="0"/>
      <w:marBottom w:val="0"/>
      <w:divBdr>
        <w:top w:val="none" w:sz="0" w:space="0" w:color="auto"/>
        <w:left w:val="none" w:sz="0" w:space="0" w:color="auto"/>
        <w:bottom w:val="none" w:sz="0" w:space="0" w:color="auto"/>
        <w:right w:val="none" w:sz="0" w:space="0" w:color="auto"/>
      </w:divBdr>
    </w:div>
    <w:div w:id="804081416">
      <w:bodyDiv w:val="1"/>
      <w:marLeft w:val="0"/>
      <w:marRight w:val="0"/>
      <w:marTop w:val="0"/>
      <w:marBottom w:val="0"/>
      <w:divBdr>
        <w:top w:val="none" w:sz="0" w:space="0" w:color="auto"/>
        <w:left w:val="none" w:sz="0" w:space="0" w:color="auto"/>
        <w:bottom w:val="none" w:sz="0" w:space="0" w:color="auto"/>
        <w:right w:val="none" w:sz="0" w:space="0" w:color="auto"/>
      </w:divBdr>
    </w:div>
    <w:div w:id="1362390506">
      <w:bodyDiv w:val="1"/>
      <w:marLeft w:val="0"/>
      <w:marRight w:val="0"/>
      <w:marTop w:val="0"/>
      <w:marBottom w:val="0"/>
      <w:divBdr>
        <w:top w:val="none" w:sz="0" w:space="0" w:color="auto"/>
        <w:left w:val="none" w:sz="0" w:space="0" w:color="auto"/>
        <w:bottom w:val="none" w:sz="0" w:space="0" w:color="auto"/>
        <w:right w:val="none" w:sz="0" w:space="0" w:color="auto"/>
      </w:divBdr>
    </w:div>
    <w:div w:id="1450126084">
      <w:bodyDiv w:val="1"/>
      <w:marLeft w:val="0"/>
      <w:marRight w:val="0"/>
      <w:marTop w:val="0"/>
      <w:marBottom w:val="0"/>
      <w:divBdr>
        <w:top w:val="none" w:sz="0" w:space="0" w:color="auto"/>
        <w:left w:val="none" w:sz="0" w:space="0" w:color="auto"/>
        <w:bottom w:val="none" w:sz="0" w:space="0" w:color="auto"/>
        <w:right w:val="none" w:sz="0" w:space="0" w:color="auto"/>
      </w:divBdr>
    </w:div>
    <w:div w:id="1670979319">
      <w:bodyDiv w:val="1"/>
      <w:marLeft w:val="0"/>
      <w:marRight w:val="0"/>
      <w:marTop w:val="0"/>
      <w:marBottom w:val="0"/>
      <w:divBdr>
        <w:top w:val="none" w:sz="0" w:space="0" w:color="auto"/>
        <w:left w:val="none" w:sz="0" w:space="0" w:color="auto"/>
        <w:bottom w:val="none" w:sz="0" w:space="0" w:color="auto"/>
        <w:right w:val="none" w:sz="0" w:space="0" w:color="auto"/>
      </w:divBdr>
      <w:divsChild>
        <w:div w:id="147286646">
          <w:marLeft w:val="0"/>
          <w:marRight w:val="0"/>
          <w:marTop w:val="0"/>
          <w:marBottom w:val="0"/>
          <w:divBdr>
            <w:top w:val="none" w:sz="0" w:space="0" w:color="auto"/>
            <w:left w:val="none" w:sz="0" w:space="0" w:color="auto"/>
            <w:bottom w:val="none" w:sz="0" w:space="0" w:color="auto"/>
            <w:right w:val="none" w:sz="0" w:space="0" w:color="auto"/>
          </w:divBdr>
          <w:divsChild>
            <w:div w:id="1091122266">
              <w:marLeft w:val="0"/>
              <w:marRight w:val="0"/>
              <w:marTop w:val="0"/>
              <w:marBottom w:val="0"/>
              <w:divBdr>
                <w:top w:val="none" w:sz="0" w:space="0" w:color="auto"/>
                <w:left w:val="none" w:sz="0" w:space="0" w:color="auto"/>
                <w:bottom w:val="none" w:sz="0" w:space="0" w:color="auto"/>
                <w:right w:val="none" w:sz="0" w:space="0" w:color="auto"/>
              </w:divBdr>
              <w:divsChild>
                <w:div w:id="284119941">
                  <w:marLeft w:val="0"/>
                  <w:marRight w:val="0"/>
                  <w:marTop w:val="0"/>
                  <w:marBottom w:val="0"/>
                  <w:divBdr>
                    <w:top w:val="none" w:sz="0" w:space="0" w:color="auto"/>
                    <w:left w:val="none" w:sz="0" w:space="0" w:color="auto"/>
                    <w:bottom w:val="none" w:sz="0" w:space="0" w:color="auto"/>
                    <w:right w:val="none" w:sz="0" w:space="0" w:color="auto"/>
                  </w:divBdr>
                  <w:divsChild>
                    <w:div w:id="370493165">
                      <w:marLeft w:val="0"/>
                      <w:marRight w:val="0"/>
                      <w:marTop w:val="0"/>
                      <w:marBottom w:val="0"/>
                      <w:divBdr>
                        <w:top w:val="none" w:sz="0" w:space="0" w:color="auto"/>
                        <w:left w:val="none" w:sz="0" w:space="0" w:color="auto"/>
                        <w:bottom w:val="none" w:sz="0" w:space="0" w:color="auto"/>
                        <w:right w:val="none" w:sz="0" w:space="0" w:color="auto"/>
                      </w:divBdr>
                      <w:divsChild>
                        <w:div w:id="1791123383">
                          <w:marLeft w:val="0"/>
                          <w:marRight w:val="0"/>
                          <w:marTop w:val="0"/>
                          <w:marBottom w:val="0"/>
                          <w:divBdr>
                            <w:top w:val="none" w:sz="0" w:space="0" w:color="auto"/>
                            <w:left w:val="none" w:sz="0" w:space="0" w:color="auto"/>
                            <w:bottom w:val="none" w:sz="0" w:space="0" w:color="auto"/>
                            <w:right w:val="none" w:sz="0" w:space="0" w:color="auto"/>
                          </w:divBdr>
                          <w:divsChild>
                            <w:div w:id="117143656">
                              <w:marLeft w:val="0"/>
                              <w:marRight w:val="0"/>
                              <w:marTop w:val="0"/>
                              <w:marBottom w:val="0"/>
                              <w:divBdr>
                                <w:top w:val="none" w:sz="0" w:space="0" w:color="auto"/>
                                <w:left w:val="none" w:sz="0" w:space="0" w:color="auto"/>
                                <w:bottom w:val="none" w:sz="0" w:space="0" w:color="auto"/>
                                <w:right w:val="none" w:sz="0" w:space="0" w:color="auto"/>
                              </w:divBdr>
                              <w:divsChild>
                                <w:div w:id="423962046">
                                  <w:marLeft w:val="0"/>
                                  <w:marRight w:val="0"/>
                                  <w:marTop w:val="0"/>
                                  <w:marBottom w:val="0"/>
                                  <w:divBdr>
                                    <w:top w:val="none" w:sz="0" w:space="0" w:color="auto"/>
                                    <w:left w:val="none" w:sz="0" w:space="0" w:color="auto"/>
                                    <w:bottom w:val="none" w:sz="0" w:space="0" w:color="auto"/>
                                    <w:right w:val="none" w:sz="0" w:space="0" w:color="auto"/>
                                  </w:divBdr>
                                  <w:divsChild>
                                    <w:div w:id="1677999109">
                                      <w:marLeft w:val="0"/>
                                      <w:marRight w:val="0"/>
                                      <w:marTop w:val="0"/>
                                      <w:marBottom w:val="0"/>
                                      <w:divBdr>
                                        <w:top w:val="none" w:sz="0" w:space="0" w:color="auto"/>
                                        <w:left w:val="none" w:sz="0" w:space="0" w:color="auto"/>
                                        <w:bottom w:val="none" w:sz="0" w:space="0" w:color="auto"/>
                                        <w:right w:val="none" w:sz="0" w:space="0" w:color="auto"/>
                                      </w:divBdr>
                                      <w:divsChild>
                                        <w:div w:id="1491018100">
                                          <w:marLeft w:val="0"/>
                                          <w:marRight w:val="0"/>
                                          <w:marTop w:val="0"/>
                                          <w:marBottom w:val="0"/>
                                          <w:divBdr>
                                            <w:top w:val="none" w:sz="0" w:space="0" w:color="auto"/>
                                            <w:left w:val="none" w:sz="0" w:space="0" w:color="auto"/>
                                            <w:bottom w:val="none" w:sz="0" w:space="0" w:color="auto"/>
                                            <w:right w:val="none" w:sz="0" w:space="0" w:color="auto"/>
                                          </w:divBdr>
                                          <w:divsChild>
                                            <w:div w:id="34532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56860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pk.nfz.gov.pl/pl/leczenie-w-innym-panstwie/zwrot-kosztow-swiadczen.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nas.r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F2743A-C0E5-49F2-8698-73E5BAD61FD2}">
  <ds:schemaRefs>
    <ds:schemaRef ds:uri="http://schemas.openxmlformats.org/officeDocument/2006/bibliography"/>
  </ds:schemaRefs>
</ds:datastoreItem>
</file>

<file path=docProps/app.xml><?xml version="1.0" encoding="utf-8"?>
<ap:Properties xmlns:vt="http://schemas.openxmlformats.org/officeDocument/2006/docPropsVTypes" xmlns:ap="http://schemas.openxmlformats.org/officeDocument/2006/extended-properties">
  <ap:Template>Normal.dotm</ap:Template>
  <ap:TotalTime>5</ap:TotalTime>
  <ap:Pages>1</ap:Pages>
  <ap:Words>537</ap:Words>
  <ap:Characters>2957</ap:Characters>
  <ap:Application>Microsoft Office Word</ap:Application>
  <ap:DocSecurity>0</ap:DocSecurity>
  <ap:Lines>24</ap:Lines>
  <ap:Paragraphs>6</ap:Paragraphs>
  <ap:ScaleCrop>false</ap:ScaleCrop>
  <ap:HeadingPairs>
    <vt:vector baseType="variant" size="2">
      <vt:variant>
        <vt:lpstr>Tytuł</vt:lpstr>
      </vt:variant>
      <vt:variant>
        <vt:i4>1</vt:i4>
      </vt:variant>
    </vt:vector>
  </ap:HeadingPairs>
  <ap:TitlesOfParts>
    <vt:vector baseType="lpstr" size="1">
      <vt:lpstr>Zasady korzystania z formularza E 111</vt:lpstr>
    </vt:vector>
  </ap:TitlesOfParts>
  <ap:Company>CDT</ap:Company>
  <ap:LinksUpToDate>false</ap:LinksUpToDate>
  <ap:CharactersWithSpaces>3488</ap:CharactersWithSpaces>
  <ap:SharedDoc>false</ap:SharedDoc>
  <ap:HyperlinksChanged>false</ap:HyperlinksChanged>
  <ap:AppVersion>16.0000</ap:AppVersion>
</ap:Properties>
</file>

<file path=docProps/core.xml><?xml version="1.0" encoding="utf-8"?>
<coreProperties xmlns:dc="http://purl.org/dc/elements/1.1/" xmlns:dcterms="http://purl.org/dc/terms/" xmlns:xsi="http://www.w3.org/2001/XMLSchema-instance" xmlns="http://schemas.openxmlformats.org/package/2006/metadata/core-properties">
  <dc:title>Zasady korzystania z formularza E 111</dc:title>
  <dc:subject/>
  <dc:creator>CDT</dc:creator>
  <keywords/>
  <lastModifiedBy>CDT</lastModifiedBy>
  <revision>5</revision>
  <lastPrinted>2005-03-22T12:31:00.0000000Z</lastPrinted>
  <dcterms:created xsi:type="dcterms:W3CDTF">2021-10-27T08:23:00.0000000Z</dcterms:created>
  <dcterms:modified xsi:type="dcterms:W3CDTF">2021-11-02T13:42:00.0000000Z</dcterms:modified>
</coreProperties>
</file>