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AF4D1E" w:rsidRPr="00AF4D1E">
        <w:rPr>
          <w:rFonts w:ascii="Times New Roman" w:hAnsi="Times New Roman" w:cs="Times New Roman"/>
        </w:rPr>
        <w:t>10.7312.014.2018.WDKAR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AF4D1E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10.7312.014.2018.WDKAR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AF4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19.06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AF4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08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AF4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08.2018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BC44F8" w:rsidRDefault="00AF4D1E" w:rsidP="008C4F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</w:t>
            </w:r>
            <w:proofErr w:type="spellStart"/>
            <w:r w:rsidRPr="00AF4D1E">
              <w:rPr>
                <w:rFonts w:ascii="Times New Roman" w:hAnsi="Times New Roman" w:cs="Times New Roman"/>
                <w:bCs/>
                <w:sz w:val="20"/>
                <w:szCs w:val="20"/>
              </w:rPr>
              <w:t>Gemini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E0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F4D1E">
              <w:rPr>
                <w:rFonts w:ascii="Times New Roman" w:hAnsi="Times New Roman" w:cs="Times New Roman"/>
                <w:bCs/>
                <w:sz w:val="20"/>
                <w:szCs w:val="20"/>
              </w:rPr>
              <w:t>ul. Wojska Polskiego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F4D1E">
              <w:rPr>
                <w:rFonts w:ascii="Times New Roman" w:hAnsi="Times New Roman" w:cs="Times New Roman"/>
                <w:bCs/>
                <w:sz w:val="20"/>
                <w:szCs w:val="20"/>
              </w:rPr>
              <w:t>19-200 Grajewo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629F6" w:rsidRDefault="00AF4D1E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AF4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 w zakresie realizacji recept na leki recepturowe.</w:t>
            </w:r>
          </w:p>
          <w:p w:rsidR="00AF4D1E" w:rsidRPr="009B4C38" w:rsidRDefault="00AF4D1E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4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01.09.2016 r. – 31.12.2017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P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 xml:space="preserve">Pozytywnie z nieprawidłowościami ocenić należy postępowanie Apteki w odniesieniu do obowiązujących w kontrolowanym okresie przepisów zawartych w </w:t>
            </w:r>
            <w:r w:rsidRPr="00AF4D1E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AF4D1E">
              <w:rPr>
                <w:sz w:val="20"/>
                <w:szCs w:val="20"/>
              </w:rPr>
              <w:t xml:space="preserve">8 marca 2012 r. </w:t>
            </w:r>
            <w:r w:rsidRPr="00AF4D1E">
              <w:rPr>
                <w:i/>
                <w:sz w:val="20"/>
                <w:szCs w:val="20"/>
              </w:rPr>
              <w:t>w sprawie recept lekarskich</w:t>
            </w:r>
            <w:r w:rsidRPr="00AF4D1E">
              <w:rPr>
                <w:sz w:val="20"/>
                <w:szCs w:val="20"/>
              </w:rPr>
              <w:t xml:space="preserve"> (j.t. Dz.U. z 2017 r., poz. 1570)</w:t>
            </w:r>
            <w:r w:rsidRPr="00AF4D1E">
              <w:rPr>
                <w:rFonts w:eastAsia="Calibri"/>
                <w:sz w:val="20"/>
                <w:szCs w:val="20"/>
              </w:rPr>
              <w:t>, zwanego dalej rozporządzeniem</w:t>
            </w:r>
            <w:r w:rsidRPr="00AF4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F4D1E">
              <w:rPr>
                <w:i/>
                <w:sz w:val="20"/>
                <w:szCs w:val="20"/>
              </w:rPr>
              <w:t xml:space="preserve">w/s recept lekarskich, </w:t>
            </w:r>
            <w:r w:rsidRPr="00AF4D1E">
              <w:rPr>
                <w:sz w:val="20"/>
                <w:szCs w:val="20"/>
              </w:rPr>
              <w:t xml:space="preserve">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drukach; zawierały niezbędne informacje o przepisanych lekach, a także dane identyfikujące świadczeniodawcę oraz lekarza. W wyniku kontroli stwierdzono natomiast następujące nieprawidłowości: realizację 1 recepty (1 op., 1 pozycja), na której przy poprawionej dacie wystawienia recepty lekarz przystawił pieczątkę nie umieszczając na niej swojego podpisu, czym naruszono § 2 ust. 2 rozporządzenia </w:t>
            </w:r>
            <w:r w:rsidRPr="00AF4D1E">
              <w:rPr>
                <w:i/>
                <w:sz w:val="20"/>
                <w:szCs w:val="20"/>
              </w:rPr>
              <w:t>w/s recept lekarskich</w:t>
            </w:r>
            <w:r w:rsidRPr="00AF4D1E">
              <w:rPr>
                <w:sz w:val="20"/>
                <w:szCs w:val="20"/>
              </w:rPr>
              <w:t xml:space="preserve">, realizację 1 recepty (1 op., 1 pozycja), która nie była opatrzona sposobem dawkowania leku zawierającego w swoim składzie środek odurzający grupy II-N. Naruszono w ten sposób </w:t>
            </w:r>
            <w:r w:rsidRPr="00AF4D1E">
              <w:rPr>
                <w:rFonts w:eastAsia="Calibri"/>
                <w:sz w:val="20"/>
                <w:szCs w:val="20"/>
              </w:rPr>
              <w:t>§ 6</w:t>
            </w:r>
            <w:r w:rsidRPr="00AF4D1E">
              <w:rPr>
                <w:sz w:val="20"/>
                <w:szCs w:val="20"/>
              </w:rPr>
              <w:t xml:space="preserve"> ust. 1 pkt 5 lit. c rozporządzenia </w:t>
            </w:r>
            <w:r w:rsidRPr="00AF4D1E">
              <w:rPr>
                <w:i/>
                <w:sz w:val="20"/>
                <w:szCs w:val="20"/>
              </w:rPr>
              <w:t>w/s recept lekarskich</w:t>
            </w:r>
            <w:r>
              <w:rPr>
                <w:i/>
                <w:sz w:val="20"/>
                <w:szCs w:val="20"/>
              </w:rPr>
              <w:t>.</w:t>
            </w:r>
          </w:p>
          <w:p w:rsid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>Pozytywnie oceniono realizację recept w zakresie zachowania terminu ich ważności, w tym również w przypadku realizacji recept odroczonych z datami realizacji „od dnia”.</w:t>
            </w:r>
          </w:p>
          <w:p w:rsid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>W kontrolowanym okresie Apteka należycie wywiązywała się z obowiązku przechowywania zrealizowanych recept, co należy ocenić pozytywnie.</w:t>
            </w:r>
          </w:p>
          <w:p w:rsid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>Negatywnie ocenić należy sposób realizacji recept w aspektach charakterystycznych dla leków recepturowych. Odstępstw od wymogów określonych w obowiązujących w okresie kontrolowanym przepisach nie stwierdzono w przypadku wysokości stosowanej opłaty ryczałtowej; sporządzania i wydawania leku w ilościach ryczałtowych określonych w rozporządzeniu Ministra Zdrowia z dnia 6 listopada 2012 r. w sprawie leków, które mogą być traktowane jako surowce farmaceutyczne przy sporządzaniu leków recepturowych (Dz.U. z 2012 r., poz. 1259), zwanego dalej rozporządzeniem w/s leków oraz zapewnienia warunków aseptycznych przy wykonywaniu leków zawierających w swoim składzie antybiotyk.</w:t>
            </w:r>
            <w:r>
              <w:rPr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>Natomiast nieprawidłowości stwierdzono w zakresie wyceny leków oraz wprowadzania zmian niezbędnych do zachowania bezpieczeństwa stosowania leku. W aptece zrealizowano: 1 receptę (1 op., 1 pozycja), w przypadku której błędnie określając postać leku pobrano od pacjenta nieprawidłową kwotę dopłaty</w:t>
            </w:r>
            <w:r>
              <w:rPr>
                <w:sz w:val="20"/>
                <w:szCs w:val="20"/>
              </w:rPr>
              <w:t xml:space="preserve">, </w:t>
            </w:r>
            <w:r w:rsidRPr="00AF4D1E">
              <w:rPr>
                <w:sz w:val="20"/>
                <w:szCs w:val="20"/>
              </w:rPr>
              <w:t>naruszając art. 6 ust. 9 ustawy o refundacji;</w:t>
            </w:r>
            <w:r>
              <w:rPr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 xml:space="preserve">2 recepty (2 op., 2 pozycje), w przypadku których pobrano większą taksę </w:t>
            </w:r>
            <w:proofErr w:type="spellStart"/>
            <w:r w:rsidRPr="00AF4D1E">
              <w:rPr>
                <w:sz w:val="20"/>
                <w:szCs w:val="20"/>
              </w:rPr>
              <w:t>laborum</w:t>
            </w:r>
            <w:proofErr w:type="spellEnd"/>
            <w:r w:rsidRPr="00AF4D1E">
              <w:rPr>
                <w:sz w:val="20"/>
                <w:szCs w:val="20"/>
              </w:rPr>
              <w:t xml:space="preserve"> niż należało, naruszając § 3 </w:t>
            </w:r>
            <w:r>
              <w:rPr>
                <w:sz w:val="20"/>
                <w:szCs w:val="20"/>
              </w:rPr>
              <w:t>ust. 2 rozporządzenia w/s leków</w:t>
            </w:r>
            <w:r w:rsidRPr="00AF4D1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>1 receptę (1 op., 1 pozycja), w przypadku której błędnie wyceniono 18 szt. opłatków skrobiowych, naruszając § 4 i § 5 ust.</w:t>
            </w:r>
            <w:r>
              <w:rPr>
                <w:sz w:val="20"/>
                <w:szCs w:val="20"/>
              </w:rPr>
              <w:t xml:space="preserve"> 1 i 2 rozporządzenia w/s leków; </w:t>
            </w:r>
            <w:r w:rsidRPr="00AF4D1E">
              <w:rPr>
                <w:sz w:val="20"/>
                <w:szCs w:val="20"/>
              </w:rPr>
              <w:t xml:space="preserve">2 recepty (2 op., 2 pozycje) na </w:t>
            </w:r>
            <w:r w:rsidRPr="00AF4D1E">
              <w:rPr>
                <w:sz w:val="20"/>
                <w:szCs w:val="20"/>
              </w:rPr>
              <w:lastRenderedPageBreak/>
              <w:t>leki recepturowe, w przypadku których osoba sporządzająca nie wprowadziła zmian niezbędnych dla zapewnienia bezpieczeństwa stosowania leku, naruszając przepisy § 3 ust. 1 pkt 4 oraz ust. 3 i 4 rozporządzenia Ministra Zdrowia z dnia 18 października 2002 r. w sprawie wydawania z apteki produktów leczniczych i wyrobów medycznych (j.t. Dz.U. z 2016 r., poz. 493)</w:t>
            </w:r>
            <w:r>
              <w:rPr>
                <w:sz w:val="20"/>
                <w:szCs w:val="20"/>
              </w:rPr>
              <w:t>.</w:t>
            </w:r>
          </w:p>
          <w:p w:rsid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 xml:space="preserve">W Aptece w prawidłowy sposób sporządzano otaksowania recept - postępowanie takie zasługuje na ocenę pozytywną.  </w:t>
            </w:r>
          </w:p>
          <w:p w:rsid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>Pozytywnie oceniono</w:t>
            </w:r>
            <w:r w:rsidRPr="00AF4D1E">
              <w:rPr>
                <w:b/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>pod względem kryterium legalności</w:t>
            </w:r>
            <w:r w:rsidRPr="00AF4D1E">
              <w:rPr>
                <w:b/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>postępowanie Kontrolowanego</w:t>
            </w:r>
            <w:r w:rsidRPr="00AF4D1E">
              <w:rPr>
                <w:b/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 xml:space="preserve">w zakresie uprawnień zawodowych i kwalifikacji do wydawania produktów leczniczych, gdyż w okresie objętym kontrolą realizacji recept dokonywano zgodnie z art. 91 ust. 1 ustawy z dnia 6 września 2001 r. Prawo farmaceutyczne (j.t. Dz.U. z 2017 r., poz. 2211, z </w:t>
            </w:r>
            <w:proofErr w:type="spellStart"/>
            <w:r w:rsidRPr="00AF4D1E">
              <w:rPr>
                <w:sz w:val="20"/>
                <w:szCs w:val="20"/>
              </w:rPr>
              <w:t>późn</w:t>
            </w:r>
            <w:proofErr w:type="spellEnd"/>
            <w:r w:rsidRPr="00AF4D1E">
              <w:rPr>
                <w:sz w:val="20"/>
                <w:szCs w:val="20"/>
              </w:rPr>
              <w:t>. zm.)</w:t>
            </w:r>
            <w:r>
              <w:rPr>
                <w:sz w:val="20"/>
                <w:szCs w:val="20"/>
              </w:rPr>
              <w:t>.</w:t>
            </w:r>
          </w:p>
          <w:p w:rsidR="00AF4D1E" w:rsidRPr="00AF4D1E" w:rsidRDefault="00AF4D1E" w:rsidP="00AF4D1E">
            <w:pPr>
              <w:pStyle w:val="Akapitzlist"/>
              <w:numPr>
                <w:ilvl w:val="0"/>
                <w:numId w:val="47"/>
              </w:numPr>
              <w:ind w:left="366" w:hanging="283"/>
              <w:jc w:val="both"/>
              <w:rPr>
                <w:sz w:val="20"/>
                <w:szCs w:val="20"/>
              </w:rPr>
            </w:pPr>
            <w:r w:rsidRPr="00AF4D1E">
              <w:rPr>
                <w:sz w:val="20"/>
                <w:szCs w:val="20"/>
              </w:rPr>
              <w:t>Pozytywnie z uchybieniami</w:t>
            </w:r>
            <w:r w:rsidRPr="00AF4D1E">
              <w:rPr>
                <w:b/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>pod względem kryterium rzetelności oceniono postępowanie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AF4D1E">
              <w:rPr>
                <w:i/>
                <w:sz w:val="20"/>
                <w:szCs w:val="20"/>
              </w:rPr>
              <w:t xml:space="preserve"> </w:t>
            </w:r>
            <w:r w:rsidRPr="00AF4D1E">
              <w:rPr>
                <w:sz w:val="20"/>
                <w:szCs w:val="20"/>
              </w:rPr>
              <w:t xml:space="preserve">o refundacji, § 2 ust. </w:t>
            </w:r>
            <w:r w:rsidRPr="00AF4D1E">
              <w:rPr>
                <w:bCs/>
                <w:sz w:val="20"/>
                <w:szCs w:val="20"/>
              </w:rPr>
              <w:t xml:space="preserve">1 pkt. 13 </w:t>
            </w:r>
            <w:r w:rsidRPr="00AF4D1E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AF4D1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(j.t. </w:t>
            </w:r>
            <w:r w:rsidRPr="00AF4D1E">
              <w:rPr>
                <w:sz w:val="20"/>
                <w:szCs w:val="20"/>
              </w:rPr>
              <w:t>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AF4D1E">
              <w:rPr>
                <w:sz w:val="20"/>
                <w:szCs w:val="20"/>
              </w:rPr>
              <w:t>W wyniku kontroli stwierdzono bowiem, że w 18 przypadkach sprawozdany, przez Aptekę do POW NFZ, numer kodowy leku recepturowego nie odpowiadał sporządzonej postaci leku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AF4D1E" w:rsidRPr="00AF4D1E" w:rsidRDefault="00AF4D1E" w:rsidP="00AF4D1E">
            <w:pPr>
              <w:numPr>
                <w:ilvl w:val="0"/>
                <w:numId w:val="43"/>
              </w:numPr>
              <w:tabs>
                <w:tab w:val="clear" w:pos="360"/>
                <w:tab w:val="num" w:pos="10860"/>
              </w:tabs>
              <w:ind w:hanging="2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Przestrzegać zasad realizacji recept zgodnie z obowiązującymi przepisami: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AF4D1E">
              <w:rPr>
                <w:rFonts w:ascii="Times New Roman" w:hAnsi="Times New Roman" w:cs="Times New Roman"/>
                <w:i/>
                <w:sz w:val="20"/>
                <w:szCs w:val="20"/>
              </w:rPr>
              <w:t>w/s recept lekarskich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, w szczególności realizować te recepty, których poprawiona treść została autoryzowana w prawidłow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sposób, a w przypadku środków 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odurzających posiadające sposób dawkowania; rozporządzenia </w:t>
            </w:r>
            <w:r w:rsidRPr="00AF4D1E">
              <w:rPr>
                <w:rFonts w:ascii="Times New Roman" w:hAnsi="Times New Roman" w:cs="Times New Roman"/>
                <w:i/>
                <w:sz w:val="20"/>
                <w:szCs w:val="20"/>
              </w:rPr>
              <w:t>w/s wydawania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D1E">
              <w:rPr>
                <w:rFonts w:ascii="Times New Roman" w:hAnsi="Times New Roman" w:cs="Times New Roman"/>
                <w:i/>
                <w:sz w:val="20"/>
                <w:szCs w:val="20"/>
              </w:rPr>
              <w:t>z apteki produktów leczniczych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 w zakresie zmian dokonywanych w składzie leku oraz wyceny leków recepturowych; prawidłowo wyliczać poziom </w:t>
            </w:r>
            <w:proofErr w:type="spellStart"/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taxy</w:t>
            </w:r>
            <w:proofErr w:type="spellEnd"/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laborum</w:t>
            </w:r>
            <w:proofErr w:type="spellEnd"/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, prawidłowo określać postać wykonywanego leku oraz ustalać cenę detaliczną składników leków recepturowych w prawidłowej wysokości.</w:t>
            </w:r>
          </w:p>
          <w:p w:rsidR="00AF4D1E" w:rsidRDefault="00AF4D1E" w:rsidP="00AF4D1E">
            <w:pPr>
              <w:numPr>
                <w:ilvl w:val="0"/>
                <w:numId w:val="43"/>
              </w:numPr>
              <w:tabs>
                <w:tab w:val="clear" w:pos="360"/>
                <w:tab w:val="num" w:pos="10860"/>
              </w:tabs>
              <w:ind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Przekazywać POW NFZ kompletne dane o obrocie refundowanymi lekami, środkami spożywczymi specjalnego przeznaczenia żywieniowego i wyrobami medycznymi, zgodne ze stanem rzeczywistym i treścią realizowanych recept, stosownie do wymogów określonych w art. 45 </w:t>
            </w:r>
            <w:r w:rsidRPr="00AF4D1E">
              <w:rPr>
                <w:rFonts w:ascii="Times New Roman" w:hAnsi="Times New Roman" w:cs="Times New Roman"/>
                <w:i/>
                <w:sz w:val="20"/>
                <w:szCs w:val="20"/>
              </w:rPr>
              <w:t>ustawy o refundacji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D1E" w:rsidRPr="00AF4D1E" w:rsidRDefault="00AF4D1E" w:rsidP="00AF4D1E">
            <w:pPr>
              <w:numPr>
                <w:ilvl w:val="0"/>
                <w:numId w:val="43"/>
              </w:numPr>
              <w:tabs>
                <w:tab w:val="clear" w:pos="360"/>
                <w:tab w:val="num" w:pos="10860"/>
              </w:tabs>
              <w:ind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 xml:space="preserve">Złożyć korekty zbiorczych zestawień zrealizowanych recept oraz raportów o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refundowanymi lekami i wyrobami </w:t>
            </w:r>
            <w:r w:rsidRPr="00AF4D1E">
              <w:rPr>
                <w:rFonts w:ascii="Times New Roman" w:hAnsi="Times New Roman" w:cs="Times New Roman"/>
                <w:sz w:val="20"/>
                <w:szCs w:val="20"/>
              </w:rPr>
              <w:t>medycznymi („XML”)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AF21F3" w:rsidRDefault="00AF21F3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Pr="00AF21F3">
              <w:rPr>
                <w:rFonts w:ascii="Times New Roman" w:hAnsi="Times New Roman" w:cs="Times New Roman"/>
                <w:sz w:val="20"/>
                <w:szCs w:val="20"/>
              </w:rPr>
              <w:t>1 878,25 zł</w:t>
            </w:r>
          </w:p>
          <w:p w:rsidR="005225FC" w:rsidRPr="005D6A0F" w:rsidRDefault="000F427D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5408" w:rsidRPr="00B55408">
              <w:rPr>
                <w:rFonts w:ascii="Times New Roman" w:hAnsi="Times New Roman" w:cs="Times New Roman"/>
                <w:sz w:val="20"/>
                <w:szCs w:val="20"/>
              </w:rPr>
              <w:t>1 577,45</w:t>
            </w:r>
            <w:r w:rsidR="0096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D7" w:rsidRDefault="002A68D7" w:rsidP="006853F6">
      <w:pPr>
        <w:spacing w:after="0" w:line="240" w:lineRule="auto"/>
      </w:pPr>
      <w:r>
        <w:separator/>
      </w:r>
    </w:p>
  </w:endnote>
  <w:endnote w:type="continuationSeparator" w:id="0">
    <w:p w:rsidR="002A68D7" w:rsidRDefault="002A68D7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0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0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D7" w:rsidRDefault="002A68D7" w:rsidP="006853F6">
      <w:pPr>
        <w:spacing w:after="0" w:line="240" w:lineRule="auto"/>
      </w:pPr>
      <w:r>
        <w:separator/>
      </w:r>
    </w:p>
  </w:footnote>
  <w:footnote w:type="continuationSeparator" w:id="0">
    <w:p w:rsidR="002A68D7" w:rsidRDefault="002A68D7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7E5880"/>
    <w:multiLevelType w:val="hybridMultilevel"/>
    <w:tmpl w:val="6894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4D2A86"/>
    <w:multiLevelType w:val="hybridMultilevel"/>
    <w:tmpl w:val="6894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25"/>
  </w:num>
  <w:num w:numId="5">
    <w:abstractNumId w:val="26"/>
  </w:num>
  <w:num w:numId="6">
    <w:abstractNumId w:val="7"/>
  </w:num>
  <w:num w:numId="7">
    <w:abstractNumId w:val="5"/>
  </w:num>
  <w:num w:numId="8">
    <w:abstractNumId w:val="18"/>
  </w:num>
  <w:num w:numId="9">
    <w:abstractNumId w:val="40"/>
  </w:num>
  <w:num w:numId="10">
    <w:abstractNumId w:val="14"/>
  </w:num>
  <w:num w:numId="11">
    <w:abstractNumId w:val="15"/>
  </w:num>
  <w:num w:numId="12">
    <w:abstractNumId w:val="22"/>
  </w:num>
  <w:num w:numId="13">
    <w:abstractNumId w:val="36"/>
  </w:num>
  <w:num w:numId="14">
    <w:abstractNumId w:val="3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7"/>
  </w:num>
  <w:num w:numId="20">
    <w:abstractNumId w:val="0"/>
  </w:num>
  <w:num w:numId="21">
    <w:abstractNumId w:val="10"/>
  </w:num>
  <w:num w:numId="22">
    <w:abstractNumId w:val="38"/>
  </w:num>
  <w:num w:numId="23">
    <w:abstractNumId w:val="32"/>
  </w:num>
  <w:num w:numId="24">
    <w:abstractNumId w:val="24"/>
  </w:num>
  <w:num w:numId="25">
    <w:abstractNumId w:val="3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1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 w:numId="36">
    <w:abstractNumId w:val="23"/>
  </w:num>
  <w:num w:numId="37">
    <w:abstractNumId w:val="28"/>
  </w:num>
  <w:num w:numId="38">
    <w:abstractNumId w:val="19"/>
  </w:num>
  <w:num w:numId="39">
    <w:abstractNumId w:val="27"/>
  </w:num>
  <w:num w:numId="40">
    <w:abstractNumId w:val="2"/>
  </w:num>
  <w:num w:numId="41">
    <w:abstractNumId w:val="39"/>
  </w:num>
  <w:num w:numId="42">
    <w:abstractNumId w:val="29"/>
  </w:num>
  <w:num w:numId="43">
    <w:abstractNumId w:val="16"/>
  </w:num>
  <w:num w:numId="44">
    <w:abstractNumId w:val="37"/>
  </w:num>
  <w:num w:numId="45">
    <w:abstractNumId w:val="30"/>
  </w:num>
  <w:num w:numId="46">
    <w:abstractNumId w:val="20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68D7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33B18"/>
    <w:rsid w:val="005868A9"/>
    <w:rsid w:val="005916D2"/>
    <w:rsid w:val="005944F7"/>
    <w:rsid w:val="005A609F"/>
    <w:rsid w:val="005B7DD0"/>
    <w:rsid w:val="005D6A0F"/>
    <w:rsid w:val="00611D4F"/>
    <w:rsid w:val="00647885"/>
    <w:rsid w:val="00652CD9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32FFC"/>
    <w:rsid w:val="00942ADD"/>
    <w:rsid w:val="0094757F"/>
    <w:rsid w:val="00955CFE"/>
    <w:rsid w:val="009629F6"/>
    <w:rsid w:val="0096507F"/>
    <w:rsid w:val="00996AD7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AF21F3"/>
    <w:rsid w:val="00AF4D1E"/>
    <w:rsid w:val="00B15F48"/>
    <w:rsid w:val="00B300EE"/>
    <w:rsid w:val="00B47FD2"/>
    <w:rsid w:val="00B55408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84B19"/>
    <w:rsid w:val="00D953E7"/>
    <w:rsid w:val="00D971E1"/>
    <w:rsid w:val="00DC7A9A"/>
    <w:rsid w:val="00DD14E3"/>
    <w:rsid w:val="00DE0D24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3C8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6</cp:revision>
  <dcterms:created xsi:type="dcterms:W3CDTF">2019-05-30T09:23:00Z</dcterms:created>
  <dcterms:modified xsi:type="dcterms:W3CDTF">2019-05-30T09:35:00Z</dcterms:modified>
</cp:coreProperties>
</file>