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027651" w:rsidRPr="000B2B3A">
        <w:rPr>
          <w:rFonts w:ascii="Times New Roman" w:hAnsi="Times New Roman" w:cs="Times New Roman"/>
        </w:rPr>
        <w:t>10.7322.024.2018.WDKAR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bookmarkStart w:id="0" w:name="_GoBack"/>
            <w:bookmarkEnd w:id="0"/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027651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7651">
              <w:rPr>
                <w:rFonts w:ascii="Times New Roman" w:hAnsi="Times New Roman" w:cs="Times New Roman"/>
                <w:sz w:val="20"/>
                <w:szCs w:val="20"/>
              </w:rPr>
              <w:t>10.7322.024.2018.WDKAR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027651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Data rozpoczęcia kontroli:</w:t>
            </w:r>
            <w:r w:rsidR="000276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0</w:t>
            </w:r>
            <w:r w:rsidR="00027651" w:rsidRPr="000276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5.09</w:t>
            </w:r>
            <w:r w:rsidR="000276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027651" w:rsidRPr="000276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2018 r.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D665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0276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10.10.2018</w:t>
            </w:r>
            <w:r w:rsidR="001201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12012A" w:rsidRDefault="0012012A" w:rsidP="0012012A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Apteka</w:t>
            </w:r>
            <w:r w:rsidRPr="001201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„OAK” w Hajnówce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201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ul. 3 Maja 55 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C65939" w:rsidRPr="00C65939" w:rsidRDefault="00C65939" w:rsidP="00C6593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59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Realizacja zagadnień wynikających z zakresu przedmiotowego umowy na wydawanie refundowanego leku, środka spożywczego specjalnego przeznaczenia żywieniowego oraz wyrobu medycznego na receptę w 2017 r.</w:t>
            </w:r>
          </w:p>
          <w:p w:rsidR="009B33D6" w:rsidRPr="009B4C38" w:rsidRDefault="00D203E3" w:rsidP="009B3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3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stycznia 2017 r. – 31 grudnia 2017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773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7734C5" w:rsidRPr="007734C5" w:rsidRDefault="007734C5" w:rsidP="007734C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</w:t>
            </w:r>
            <w:r w:rsidR="00BD47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Pozytywnie z nieprawidłowością ocenić należy postępowanie Apteki 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odniesieniu 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 obowiązujących w kontrolowanym okresie przepisów zawartych w rozporządzeniu Ministra Zdrowia z dnia 8 marca 2012 r. w sprawie recept lekarskich (j.t. Dz.U. z 2017 r., poz. 1570), zwanego dalej rozporządzeniem w/s recept lekarskich, w zakresie spełniania przez recepty wymogów formalnych stanowiących podstawę wydania refundowanych leków, środków spożywczych specjalnego przeznaczenia żywieniowego i wyrobów medycznych.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trakcie kontroli ustalono bowiem, że zrealizowane recepty wystawione były w sposób czytelny na prawidłowych drukach; zawierały niezbędne informacje o przepisanych lekach, a także dane identyfikujące świadczeniodawcę, pacjenta oraz lekarza. Natomiast w jednym przypadku stwierdzono nieprawidłową realizację recepty, ponieważ osoba uprawniona nie umieściła podpisu przy poprawionej dacie wystawienia recepty. Naruszono w ten sposób § 2 ust. 2 rozporządzenia w/s recept lekarskich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734C5" w:rsidRPr="007734C5" w:rsidRDefault="007734C5" w:rsidP="007734C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Pozytywnie oceniono realizację recept w zakresie zachowania terminu ich ważności, w tym również w przypadku realizacji recept odroczonych z datami realizacji „od dnia”.</w:t>
            </w:r>
          </w:p>
          <w:p w:rsidR="007734C5" w:rsidRPr="007734C5" w:rsidRDefault="007734C5" w:rsidP="007734C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 W kontrolowanym okresie Apteka należycie wywiązywała się z obowiązku przechowywania zrealizowanych recept, co należy ocenić pozytywnie.</w:t>
            </w:r>
          </w:p>
          <w:p w:rsidR="007734C5" w:rsidRPr="007734C5" w:rsidRDefault="007734C5" w:rsidP="007734C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4.  W Aptece w prawidłowy sposób sporządzano otaksowania recept - postępowanie takie również zasługuje na ocenę pozytywną.  </w:t>
            </w:r>
          </w:p>
          <w:p w:rsidR="007734C5" w:rsidRPr="007734C5" w:rsidRDefault="007734C5" w:rsidP="007734C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Pozytywnie z nieprawidłowościami ocenić należy postępowanie Apteki w zakresie realizacji recept lekarskich w odniesieniu do postanowień umowy oraz obowiązujących w kontrolowanym okresie przepisów rozporządzenia w/s recept lekarskich dotyczących ilości, wielkości opakowań oraz dawek wydawanych leków. W wyniku kontroli stwierdzono bowiem nieprawidłowości w zakresie ilości oraz dawek wydawanych produktów, a mianowicie:</w:t>
            </w:r>
            <w:r w:rsidR="00BD47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realizację 1 recepty, na podstawie której wydano lek w ilości większej, niż potrzebna na 120 dni stosowania, czym naruszono § 18 ust. 1 pkt 3 i ust. 2 rozporz</w:t>
            </w:r>
            <w:r w:rsidR="009B7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ądzenia w/s recept lekarskich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  <w:r w:rsidR="009B7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realizację 1 recepty, na podstawie której wydano lek w większej dawce niż zaordynowana, czym naruszono § 13 ust. 1 rozporządzenia w/s recept lekarskic</w:t>
            </w:r>
            <w:r w:rsidR="009B7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734C5" w:rsidRPr="007734C5" w:rsidRDefault="007734C5" w:rsidP="007734C5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6.  Pozytywnie ocenić należy pod względem kryterium legalności i rzetelności realizację recept wystawionych na rzecz pacjentów posiadających uprawnienia dodatkowe typu ZK lub IB. Kontrolowany przestrzegał zapisu art. 43 ust. 1 i art. 46 ust. 6 ustawy z dnia 27 sierpnia 2004 r. o świadczeniach opieki zdrowotnej finansowanych ze środków publicznych (j.t. Dz.U. z 2018 r., poz. 1510, z </w:t>
            </w:r>
            <w:proofErr w:type="spellStart"/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zm.) </w:t>
            </w:r>
            <w:r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umieszczając na rewersach recept informacje o numerze i rodzaju dokumentu potwierdzającego ww. uprawnienia oraz wydając leki z odpowiednią odpłatnością. </w:t>
            </w:r>
          </w:p>
          <w:p w:rsidR="007734C5" w:rsidRPr="007734C5" w:rsidRDefault="00857EC1" w:rsidP="00857EC1">
            <w:p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 Negatywnie oceniono postępowanie w zakresie wydawania leków zawierających substancję bardzo silnie działającą przez techników farmaceutycznych niezgodnie z art. 91 ust. 1 ustawy z dnia 6 września 2001 r. Prawo farmaceutyczne (j.t. Dz.U. z 2017 r., poz. 2211 z </w:t>
            </w:r>
            <w:proofErr w:type="spellStart"/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zm.), zwanej dalej Prawem farmaceutycznym. Zrealizowano w ten sposób 3 recepty (w tym jedna recepta, na której nie było podpisu lekarza przy poprawionej dacie wystawienia recepty).</w:t>
            </w:r>
          </w:p>
          <w:p w:rsidR="007734C5" w:rsidRPr="007734C5" w:rsidRDefault="00857EC1" w:rsidP="007734C5">
            <w:pPr>
              <w:tabs>
                <w:tab w:val="left" w:pos="426"/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8.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Pozytywnie z nieprawidłowością oceniono pod względem kryterium legalności postępowanie Kontrolowanego w zakresie personelu fachowego zatrudnionego w Aptece. W okresie objętym kontrolą kierownik Apteki zgodnie z art. 88 ust. 5 pkt 6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Prawa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farmaceutyczne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go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prowadził ewidencję zatrudnionych w aptece farmaceu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tów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 techników farmaceutycznych.</w:t>
            </w:r>
            <w:r w:rsidR="004E7B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Recepty, jak i umowa, realizowane były przez osoby wymienione w ewidencji personelu zgodnie z § 5 ust. 2 umowy, jak i zgłoszone do POW NFZ.</w:t>
            </w:r>
            <w:r w:rsidR="004E7B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Natomiast Kontrolowany nie dotrzymał obowiązku informowania oddziału wojewódzkiego NFZ o każdej zmianie ewidencji osób zatrudnionych w aptece, sformułowaneg</w:t>
            </w:r>
            <w:r w:rsidR="004E7B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 w § 3 ust. 2 załącznika nr 1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 rozporządzenia Ministra Zdrowia z dnia 8 grudnia 2011 r. w </w:t>
            </w:r>
            <w:r w:rsidR="004E7B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sprawie ogólnych warunków umów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na realizację recept oraz ramowego wzoru umowy na realizację recept (j.t. Dz. U. z 2013 r., poz. 364), zwanego dalej OWU. Czynności kontrolne wykazały, iż do POW NFZ </w:t>
            </w:r>
            <w:r w:rsidR="004E7B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nie zgłoszono 1 pracownika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terminie do 5 dni roboczych od dnia zakończenia okresu rozliczeniowego, którego dotyczy zmiana. </w:t>
            </w:r>
          </w:p>
          <w:p w:rsidR="00932FFC" w:rsidRPr="004E7B82" w:rsidRDefault="004E7B82" w:rsidP="004E7B82">
            <w:pPr>
              <w:tabs>
                <w:tab w:val="left" w:pos="426"/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9. </w:t>
            </w:r>
            <w:r w:rsidR="007734C5" w:rsidRPr="00773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Pozytywnie pod względem kryterium rzetelności oceniono postępowanie Kontrolowanego w zakresie zgodności z zapisami obowiązującej umowy dotyczącymi obowiązku gromadzenia i przekazywania danych o obrocie refundowanymi lekami, środkami spożywczymi specjalnego przeznaczenia żywieniowego oraz wyrobami medycznymi wynikających z treści zrealizowanych recept, w odniesieniu do wymogów zawartych w art. 43 ust. 1 pkt 2 ustawy o refundacji, § 2 rozporządzenia Ministra Zdrowia z dnia 23 grudnia 2011 r. w sprawie informacji gromadzonych przez apteki oraz informacji przekazywanych Narodowemu Funduszowi Zdrowia (j.t. Dz.U. z 2017 r., poz. 547) oraz postanowień § 5 ust. 3 pkt 3 umowy. Zakres gromadzonych i dostarczonych przez Aptekę do POW NFZ danych sprawozdawczych był zgodny z określonym w przepisach § 2 rozporządzenia w/s informacji gromadzonych przez apteki.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0B2B3A" w:rsidRPr="000B2B3A" w:rsidRDefault="000B2B3A" w:rsidP="000B2B3A">
            <w:pPr>
              <w:numPr>
                <w:ilvl w:val="0"/>
                <w:numId w:val="43"/>
              </w:numPr>
              <w:tabs>
                <w:tab w:val="clear" w:pos="360"/>
              </w:tabs>
              <w:ind w:left="225" w:hanging="27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Przestrzegać zasad realizacji recept zgodnie z obowiązującymi przepisami rozporządzenia Ministra Zdrowia z dnia 13 kwietnia 2018 r.</w:t>
            </w:r>
            <w:r w:rsidRPr="000B2B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sprawie recept </w:t>
            </w: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 xml:space="preserve">(Dz.U. z 2018 r., poz. 745) oraz ustawy z dnia 6 września 2001 r. </w:t>
            </w:r>
            <w:r w:rsidRPr="000B2B3A">
              <w:rPr>
                <w:rFonts w:ascii="Times New Roman" w:hAnsi="Times New Roman" w:cs="Times New Roman"/>
                <w:i/>
                <w:sz w:val="20"/>
                <w:szCs w:val="20"/>
              </w:rPr>
              <w:t>Prawo farmaceutyczne</w:t>
            </w: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 xml:space="preserve"> (j.t. Dz.U. z 2017 r., poz. 2211, z </w:t>
            </w:r>
            <w:proofErr w:type="spellStart"/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. zm.), w szczególności wydawać leki w odpowiednich dawkach i ilościach.</w:t>
            </w:r>
          </w:p>
          <w:p w:rsidR="000B2B3A" w:rsidRPr="000B2B3A" w:rsidRDefault="000B2B3A" w:rsidP="000B2B3A">
            <w:pPr>
              <w:numPr>
                <w:ilvl w:val="0"/>
                <w:numId w:val="43"/>
              </w:numPr>
              <w:tabs>
                <w:tab w:val="clear" w:pos="360"/>
              </w:tabs>
              <w:ind w:left="225"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Zgłaszać do POW NFZ każdą zmianę dotyczącą ewidencji osób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dnionych w aptece, w terminie, </w:t>
            </w: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o którym mowa w art. 45 ust. 6 ustawy o refundacji.</w:t>
            </w:r>
          </w:p>
          <w:p w:rsidR="000B2B3A" w:rsidRDefault="000B2B3A" w:rsidP="000B2B3A">
            <w:pPr>
              <w:numPr>
                <w:ilvl w:val="0"/>
                <w:numId w:val="43"/>
              </w:numPr>
              <w:tabs>
                <w:tab w:val="clear" w:pos="360"/>
              </w:tabs>
              <w:ind w:left="225" w:hanging="2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Zapewnić właściwy nadzór kierownika apteki nad realizacją recept na produkty lecznicze zawierające w swoim składzie substancję bardzo silnie działającą w celu wyeliminowania sytuacji, w których przedmiotowe recept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są realizowane przez technika </w:t>
            </w: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farmaceutycznego.</w:t>
            </w:r>
          </w:p>
          <w:p w:rsidR="000B2B3A" w:rsidRPr="000B2B3A" w:rsidRDefault="000B2B3A" w:rsidP="000B2B3A">
            <w:pPr>
              <w:numPr>
                <w:ilvl w:val="0"/>
                <w:numId w:val="43"/>
              </w:numPr>
              <w:tabs>
                <w:tab w:val="clear" w:pos="360"/>
              </w:tabs>
              <w:ind w:left="225" w:hanging="2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B3A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zrealizowanych recept oraz raportów o obrocie refundowanymi lekami i wyrobami medycznymi („XML”)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9EB" w:rsidRDefault="005944F7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Default="00D6652E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 w:rsidR="00E967E1">
              <w:rPr>
                <w:b/>
              </w:rPr>
              <w:t xml:space="preserve"> </w:t>
            </w:r>
            <w:r w:rsidR="00E967E1" w:rsidRPr="00E967E1">
              <w:rPr>
                <w:rFonts w:ascii="Times New Roman" w:hAnsi="Times New Roman" w:cs="Times New Roman"/>
                <w:sz w:val="20"/>
                <w:szCs w:val="20"/>
              </w:rPr>
              <w:t>313,46 zł</w:t>
            </w:r>
            <w:r w:rsidR="00E96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5FC" w:rsidRPr="005D6A0F" w:rsidRDefault="000F427D" w:rsidP="000B2B3A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E967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B2B3A">
              <w:rPr>
                <w:rFonts w:ascii="Times New Roman" w:hAnsi="Times New Roman" w:cs="Times New Roman"/>
                <w:sz w:val="20"/>
                <w:szCs w:val="20"/>
              </w:rPr>
              <w:t>474,86</w:t>
            </w:r>
            <w:r w:rsidR="00E967E1" w:rsidRPr="00E967E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E96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40C20" w:rsidRPr="005944F7" w:rsidRDefault="00140C20" w:rsidP="000B2B3A">
      <w:pPr>
        <w:spacing w:after="0" w:line="240" w:lineRule="auto"/>
        <w:rPr>
          <w:rFonts w:ascii="Times New Roman" w:hAnsi="Times New Roman" w:cs="Times New Roman"/>
        </w:rPr>
      </w:pPr>
    </w:p>
    <w:sectPr w:rsidR="00140C20" w:rsidRPr="005944F7" w:rsidSect="000B2B3A"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2F" w:rsidRDefault="0012792F" w:rsidP="006853F6">
      <w:pPr>
        <w:spacing w:after="0" w:line="240" w:lineRule="auto"/>
      </w:pPr>
      <w:r>
        <w:separator/>
      </w:r>
    </w:p>
  </w:endnote>
  <w:endnote w:type="continuationSeparator" w:id="0">
    <w:p w:rsidR="0012792F" w:rsidRDefault="0012792F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2B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2B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2F" w:rsidRDefault="0012792F" w:rsidP="006853F6">
      <w:pPr>
        <w:spacing w:after="0" w:line="240" w:lineRule="auto"/>
      </w:pPr>
      <w:r>
        <w:separator/>
      </w:r>
    </w:p>
  </w:footnote>
  <w:footnote w:type="continuationSeparator" w:id="0">
    <w:p w:rsidR="0012792F" w:rsidRDefault="0012792F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27651"/>
    <w:rsid w:val="000520BC"/>
    <w:rsid w:val="00074B60"/>
    <w:rsid w:val="000801BD"/>
    <w:rsid w:val="000A76CF"/>
    <w:rsid w:val="000B2B3A"/>
    <w:rsid w:val="000C3449"/>
    <w:rsid w:val="000D4442"/>
    <w:rsid w:val="000F427D"/>
    <w:rsid w:val="00100C96"/>
    <w:rsid w:val="0010570E"/>
    <w:rsid w:val="001057BA"/>
    <w:rsid w:val="0012012A"/>
    <w:rsid w:val="0012792F"/>
    <w:rsid w:val="00140C20"/>
    <w:rsid w:val="00156398"/>
    <w:rsid w:val="00156E8D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82F4B"/>
    <w:rsid w:val="002A7236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3F32CE"/>
    <w:rsid w:val="0040574A"/>
    <w:rsid w:val="00427EDB"/>
    <w:rsid w:val="00437BA8"/>
    <w:rsid w:val="004467FF"/>
    <w:rsid w:val="0048349D"/>
    <w:rsid w:val="004A2D34"/>
    <w:rsid w:val="004B5222"/>
    <w:rsid w:val="004B63F6"/>
    <w:rsid w:val="004D7A71"/>
    <w:rsid w:val="004E0BEF"/>
    <w:rsid w:val="004E7B82"/>
    <w:rsid w:val="004F004D"/>
    <w:rsid w:val="005225FC"/>
    <w:rsid w:val="005868A9"/>
    <w:rsid w:val="005916D2"/>
    <w:rsid w:val="005944F7"/>
    <w:rsid w:val="005A609F"/>
    <w:rsid w:val="005B7DD0"/>
    <w:rsid w:val="005D6A0F"/>
    <w:rsid w:val="005E559E"/>
    <w:rsid w:val="00611D4F"/>
    <w:rsid w:val="00647885"/>
    <w:rsid w:val="00652CD9"/>
    <w:rsid w:val="006853F6"/>
    <w:rsid w:val="006A3F68"/>
    <w:rsid w:val="006B0CDA"/>
    <w:rsid w:val="006B2921"/>
    <w:rsid w:val="006F254F"/>
    <w:rsid w:val="0076359A"/>
    <w:rsid w:val="007734C5"/>
    <w:rsid w:val="00783D03"/>
    <w:rsid w:val="00785D9E"/>
    <w:rsid w:val="00786182"/>
    <w:rsid w:val="007C401A"/>
    <w:rsid w:val="007F6751"/>
    <w:rsid w:val="00810A7B"/>
    <w:rsid w:val="00831BE3"/>
    <w:rsid w:val="00857EC1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B33D6"/>
    <w:rsid w:val="009B3F27"/>
    <w:rsid w:val="009B4C38"/>
    <w:rsid w:val="009B7296"/>
    <w:rsid w:val="009C5307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15F48"/>
    <w:rsid w:val="00B2195F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D4778"/>
    <w:rsid w:val="00BE3E8A"/>
    <w:rsid w:val="00BF1245"/>
    <w:rsid w:val="00BF5815"/>
    <w:rsid w:val="00C65939"/>
    <w:rsid w:val="00C75787"/>
    <w:rsid w:val="00CF2B90"/>
    <w:rsid w:val="00D151B0"/>
    <w:rsid w:val="00D203E3"/>
    <w:rsid w:val="00D22E25"/>
    <w:rsid w:val="00D30B8B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967E1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5D4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F29F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11</cp:revision>
  <dcterms:created xsi:type="dcterms:W3CDTF">2019-05-31T06:54:00Z</dcterms:created>
  <dcterms:modified xsi:type="dcterms:W3CDTF">2019-06-13T11:44:00Z</dcterms:modified>
</cp:coreProperties>
</file>